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D51" w:rsidRDefault="00183D51" w:rsidP="00287FEA">
      <w:pPr>
        <w:jc w:val="center"/>
        <w:rPr>
          <w:b/>
          <w:sz w:val="24"/>
          <w:szCs w:val="24"/>
        </w:rPr>
      </w:pPr>
      <w:r>
        <w:rPr>
          <w:b/>
          <w:sz w:val="24"/>
          <w:szCs w:val="24"/>
        </w:rPr>
        <w:t xml:space="preserve">UPEC - </w:t>
      </w:r>
      <w:r w:rsidR="00287FEA" w:rsidRPr="00183D51">
        <w:rPr>
          <w:b/>
          <w:sz w:val="24"/>
          <w:szCs w:val="24"/>
        </w:rPr>
        <w:t>Master II</w:t>
      </w:r>
      <w:r>
        <w:rPr>
          <w:b/>
          <w:sz w:val="24"/>
          <w:szCs w:val="24"/>
        </w:rPr>
        <w:t xml:space="preserve"> Droit européen</w:t>
      </w:r>
    </w:p>
    <w:p w:rsidR="00287FEA" w:rsidRPr="00183D51" w:rsidRDefault="00287FEA" w:rsidP="00287FEA">
      <w:pPr>
        <w:jc w:val="center"/>
        <w:rPr>
          <w:b/>
          <w:sz w:val="24"/>
          <w:szCs w:val="24"/>
        </w:rPr>
      </w:pPr>
      <w:proofErr w:type="gramStart"/>
      <w:r w:rsidRPr="00183D51">
        <w:rPr>
          <w:b/>
          <w:sz w:val="24"/>
          <w:szCs w:val="24"/>
        </w:rPr>
        <w:t>parcours</w:t>
      </w:r>
      <w:proofErr w:type="gramEnd"/>
      <w:r w:rsidRPr="00183D51">
        <w:rPr>
          <w:b/>
          <w:sz w:val="24"/>
          <w:szCs w:val="24"/>
        </w:rPr>
        <w:t xml:space="preserve"> </w:t>
      </w:r>
      <w:r w:rsidR="00183D51">
        <w:rPr>
          <w:b/>
          <w:sz w:val="24"/>
          <w:szCs w:val="24"/>
        </w:rPr>
        <w:t>« </w:t>
      </w:r>
      <w:r w:rsidRPr="00183D51">
        <w:rPr>
          <w:b/>
          <w:sz w:val="24"/>
          <w:szCs w:val="24"/>
        </w:rPr>
        <w:t>Systèmes juridiques européens</w:t>
      </w:r>
      <w:r w:rsidR="00183D51">
        <w:rPr>
          <w:b/>
          <w:sz w:val="24"/>
          <w:szCs w:val="24"/>
        </w:rPr>
        <w:t> »</w:t>
      </w:r>
      <w:r w:rsidRPr="00183D51">
        <w:rPr>
          <w:b/>
          <w:sz w:val="24"/>
          <w:szCs w:val="24"/>
        </w:rPr>
        <w:t xml:space="preserve"> et </w:t>
      </w:r>
      <w:r w:rsidR="00183D51">
        <w:rPr>
          <w:b/>
          <w:sz w:val="24"/>
          <w:szCs w:val="24"/>
        </w:rPr>
        <w:t>« </w:t>
      </w:r>
      <w:r w:rsidRPr="00183D51">
        <w:rPr>
          <w:b/>
          <w:sz w:val="24"/>
          <w:szCs w:val="24"/>
        </w:rPr>
        <w:t>Droit europ</w:t>
      </w:r>
      <w:bookmarkStart w:id="0" w:name="_GoBack"/>
      <w:bookmarkEnd w:id="0"/>
      <w:r w:rsidRPr="00183D51">
        <w:rPr>
          <w:b/>
          <w:sz w:val="24"/>
          <w:szCs w:val="24"/>
        </w:rPr>
        <w:t>éen des affaires »</w:t>
      </w:r>
      <w:r w:rsidR="00706C81">
        <w:rPr>
          <w:b/>
          <w:sz w:val="24"/>
          <w:szCs w:val="24"/>
        </w:rPr>
        <w:t xml:space="preserve"> 2023/2024</w:t>
      </w:r>
    </w:p>
    <w:p w:rsidR="006B7EF6" w:rsidRPr="00183D51" w:rsidRDefault="006B7EF6" w:rsidP="007E7CC4">
      <w:pPr>
        <w:pBdr>
          <w:top w:val="single" w:sz="8" w:space="1" w:color="auto"/>
          <w:left w:val="single" w:sz="8" w:space="4" w:color="auto"/>
          <w:bottom w:val="single" w:sz="8" w:space="1" w:color="auto"/>
          <w:right w:val="single" w:sz="8" w:space="4" w:color="auto"/>
        </w:pBdr>
        <w:rPr>
          <w:sz w:val="24"/>
          <w:szCs w:val="24"/>
        </w:rPr>
      </w:pPr>
    </w:p>
    <w:p w:rsidR="002523A3" w:rsidRPr="00706C81" w:rsidRDefault="002523A3" w:rsidP="007E7CC4">
      <w:pPr>
        <w:pBdr>
          <w:top w:val="single" w:sz="8" w:space="1" w:color="auto"/>
          <w:left w:val="single" w:sz="8" w:space="4" w:color="auto"/>
          <w:bottom w:val="single" w:sz="8" w:space="1" w:color="auto"/>
          <w:right w:val="single" w:sz="8" w:space="4" w:color="auto"/>
        </w:pBdr>
        <w:jc w:val="center"/>
        <w:rPr>
          <w:b/>
          <w:smallCaps/>
          <w:sz w:val="26"/>
          <w:szCs w:val="26"/>
          <w:lang w:val="en-US"/>
        </w:rPr>
      </w:pPr>
      <w:r w:rsidRPr="00706C81">
        <w:rPr>
          <w:b/>
          <w:smallCaps/>
          <w:sz w:val="26"/>
          <w:szCs w:val="26"/>
          <w:lang w:val="en-US"/>
        </w:rPr>
        <w:t xml:space="preserve">European </w:t>
      </w:r>
      <w:r w:rsidR="006B7EF6" w:rsidRPr="00706C81">
        <w:rPr>
          <w:b/>
          <w:smallCaps/>
          <w:sz w:val="26"/>
          <w:szCs w:val="26"/>
          <w:lang w:val="en-US"/>
        </w:rPr>
        <w:t xml:space="preserve">Economic Regulation Law </w:t>
      </w:r>
    </w:p>
    <w:p w:rsidR="006B7EF6" w:rsidRPr="007E7CC4" w:rsidRDefault="00287FEA" w:rsidP="007E7CC4">
      <w:pPr>
        <w:pBdr>
          <w:top w:val="single" w:sz="8" w:space="1" w:color="auto"/>
          <w:left w:val="single" w:sz="8" w:space="4" w:color="auto"/>
          <w:bottom w:val="single" w:sz="8" w:space="1" w:color="auto"/>
          <w:right w:val="single" w:sz="8" w:space="4" w:color="auto"/>
        </w:pBdr>
        <w:jc w:val="center"/>
        <w:rPr>
          <w:b/>
          <w:smallCaps/>
          <w:sz w:val="26"/>
          <w:szCs w:val="26"/>
          <w:lang w:val="en-US"/>
        </w:rPr>
      </w:pPr>
      <w:r w:rsidRPr="007E7CC4">
        <w:rPr>
          <w:b/>
          <w:smallCaps/>
          <w:sz w:val="26"/>
          <w:szCs w:val="26"/>
          <w:lang w:val="en-US"/>
        </w:rPr>
        <w:t>Networks law trough the perspective of EU strategic autonomy</w:t>
      </w:r>
    </w:p>
    <w:p w:rsidR="007E7CC4" w:rsidRPr="00183D51" w:rsidRDefault="007E7CC4" w:rsidP="007E7CC4">
      <w:pPr>
        <w:pBdr>
          <w:top w:val="single" w:sz="8" w:space="1" w:color="auto"/>
          <w:left w:val="single" w:sz="8" w:space="4" w:color="auto"/>
          <w:bottom w:val="single" w:sz="8" w:space="1" w:color="auto"/>
          <w:right w:val="single" w:sz="8" w:space="4" w:color="auto"/>
        </w:pBdr>
        <w:jc w:val="center"/>
        <w:rPr>
          <w:b/>
          <w:i/>
          <w:sz w:val="24"/>
          <w:szCs w:val="24"/>
          <w:lang w:val="en-US"/>
        </w:rPr>
      </w:pPr>
    </w:p>
    <w:p w:rsidR="006B7EF6" w:rsidRPr="00706C81" w:rsidRDefault="006B7EF6" w:rsidP="00CA1C6A">
      <w:pPr>
        <w:jc w:val="center"/>
        <w:rPr>
          <w:i/>
          <w:sz w:val="24"/>
          <w:szCs w:val="24"/>
          <w:lang w:val="en-US"/>
        </w:rPr>
      </w:pPr>
      <w:proofErr w:type="spellStart"/>
      <w:r w:rsidRPr="00706C81">
        <w:rPr>
          <w:i/>
          <w:sz w:val="24"/>
          <w:szCs w:val="24"/>
          <w:lang w:val="en-US"/>
        </w:rPr>
        <w:t>Stéphane</w:t>
      </w:r>
      <w:proofErr w:type="spellEnd"/>
      <w:r w:rsidRPr="00706C81">
        <w:rPr>
          <w:i/>
          <w:sz w:val="24"/>
          <w:szCs w:val="24"/>
          <w:lang w:val="en-US"/>
        </w:rPr>
        <w:t xml:space="preserve"> de La Rosa</w:t>
      </w:r>
    </w:p>
    <w:p w:rsidR="006B7EF6" w:rsidRPr="00706C81" w:rsidRDefault="006B7EF6" w:rsidP="00CA1C6A">
      <w:pPr>
        <w:jc w:val="center"/>
        <w:rPr>
          <w:i/>
          <w:sz w:val="24"/>
          <w:szCs w:val="24"/>
          <w:lang w:val="en-US"/>
        </w:rPr>
      </w:pPr>
      <w:r w:rsidRPr="00706C81">
        <w:rPr>
          <w:i/>
          <w:sz w:val="24"/>
          <w:szCs w:val="24"/>
          <w:lang w:val="en-US"/>
        </w:rPr>
        <w:t>Full Professor of Public Law – Jean Monnet Chair</w:t>
      </w:r>
    </w:p>
    <w:p w:rsidR="006B7EF6" w:rsidRPr="00706C81" w:rsidRDefault="007A5B53">
      <w:pPr>
        <w:rPr>
          <w:lang w:val="en-US"/>
        </w:rPr>
      </w:pPr>
      <w:r w:rsidRPr="005E3F3E">
        <w:rPr>
          <w:noProof/>
          <w:lang w:eastAsia="fr-FR"/>
        </w:rPr>
        <w:drawing>
          <wp:inline distT="0" distB="0" distL="0" distR="0" wp14:anchorId="3D0A85C5" wp14:editId="57BA9BA6">
            <wp:extent cx="1565910" cy="546288"/>
            <wp:effectExtent l="0" t="0" r="0" b="635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475" cy="580325"/>
                    </a:xfrm>
                    <a:prstGeom prst="rect">
                      <a:avLst/>
                    </a:prstGeom>
                    <a:noFill/>
                    <a:ln>
                      <a:noFill/>
                    </a:ln>
                  </pic:spPr>
                </pic:pic>
              </a:graphicData>
            </a:graphic>
          </wp:inline>
        </w:drawing>
      </w:r>
      <w:r w:rsidR="00C71D0B">
        <w:rPr>
          <w:noProof/>
          <w:lang w:eastAsia="fr-FR"/>
        </w:rPr>
        <w:drawing>
          <wp:inline distT="0" distB="0" distL="0" distR="0" wp14:anchorId="61CBCA6F" wp14:editId="6221DD56">
            <wp:extent cx="2457450" cy="542925"/>
            <wp:effectExtent l="0" t="0" r="0" b="9525"/>
            <wp:docPr id="4" name="Image 4" descr="https://wayback.archive-it.org/12090/20210123161830mp_/https:/eacea.ec.europa.eu/sites/eacea-site/files/logosbeneficaireserasmusright_f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ayback.archive-it.org/12090/20210123161830mp_/https:/eacea.ec.europa.eu/sites/eacea-site/files/logosbeneficaireserasmusright_fr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8049" cy="543057"/>
                    </a:xfrm>
                    <a:prstGeom prst="rect">
                      <a:avLst/>
                    </a:prstGeom>
                    <a:noFill/>
                    <a:ln>
                      <a:noFill/>
                    </a:ln>
                  </pic:spPr>
                </pic:pic>
              </a:graphicData>
            </a:graphic>
          </wp:inline>
        </w:drawing>
      </w:r>
    </w:p>
    <w:p w:rsidR="002523A3" w:rsidRPr="00183D51" w:rsidRDefault="00183D51" w:rsidP="00183D51">
      <w:pPr>
        <w:rPr>
          <w:b/>
          <w:sz w:val="24"/>
          <w:szCs w:val="24"/>
          <w:lang w:val="en-US"/>
        </w:rPr>
      </w:pPr>
      <w:r w:rsidRPr="00183D51">
        <w:rPr>
          <w:b/>
          <w:sz w:val="24"/>
          <w:szCs w:val="24"/>
          <w:lang w:val="en-US"/>
        </w:rPr>
        <w:t>I - Overview</w:t>
      </w:r>
      <w:r w:rsidR="002523A3" w:rsidRPr="00183D51">
        <w:rPr>
          <w:b/>
          <w:sz w:val="24"/>
          <w:szCs w:val="24"/>
          <w:lang w:val="en-US"/>
        </w:rPr>
        <w:t xml:space="preserve"> of the topic</w:t>
      </w:r>
    </w:p>
    <w:p w:rsidR="009C2825" w:rsidRPr="009C2825" w:rsidRDefault="002523A3" w:rsidP="002523A3">
      <w:pPr>
        <w:jc w:val="both"/>
        <w:rPr>
          <w:lang w:val="en-US"/>
        </w:rPr>
      </w:pPr>
      <w:r w:rsidRPr="009C2825">
        <w:rPr>
          <w:lang w:val="en-US"/>
        </w:rPr>
        <w:t xml:space="preserve">The European Union has taken, and continues to take, significant measures </w:t>
      </w:r>
      <w:r w:rsidR="00183D51" w:rsidRPr="009C2825">
        <w:rPr>
          <w:lang w:val="en-US"/>
        </w:rPr>
        <w:t xml:space="preserve">aiming at opening up to competition </w:t>
      </w:r>
      <w:r w:rsidRPr="009C2825">
        <w:rPr>
          <w:lang w:val="en-US"/>
        </w:rPr>
        <w:t xml:space="preserve">network-based sectors. </w:t>
      </w:r>
      <w:r w:rsidR="00183D51" w:rsidRPr="009C2825">
        <w:rPr>
          <w:lang w:val="en-US"/>
        </w:rPr>
        <w:t>The economic activities covered by such networks are key components</w:t>
      </w:r>
      <w:r w:rsidR="009C2825" w:rsidRPr="009C2825">
        <w:rPr>
          <w:lang w:val="en-US"/>
        </w:rPr>
        <w:t xml:space="preserve"> of social life and EU economy:</w:t>
      </w:r>
      <w:r w:rsidR="00183D51" w:rsidRPr="009C2825">
        <w:rPr>
          <w:lang w:val="en-US"/>
        </w:rPr>
        <w:t xml:space="preserve"> transports, infrastructure (ports, airports, motorway</w:t>
      </w:r>
      <w:r w:rsidR="007E7CC4">
        <w:rPr>
          <w:lang w:val="en-US"/>
        </w:rPr>
        <w:t>s</w:t>
      </w:r>
      <w:r w:rsidR="00183D51" w:rsidRPr="009C2825">
        <w:rPr>
          <w:lang w:val="en-US"/>
        </w:rPr>
        <w:t xml:space="preserve">, and energy infrastructure), electricity, gas, digital networks. </w:t>
      </w:r>
    </w:p>
    <w:p w:rsidR="009C2825" w:rsidRPr="009C2825" w:rsidRDefault="00183D51" w:rsidP="002523A3">
      <w:pPr>
        <w:jc w:val="both"/>
        <w:rPr>
          <w:lang w:val="en-US"/>
        </w:rPr>
      </w:pPr>
      <w:r w:rsidRPr="009C2825">
        <w:rPr>
          <w:lang w:val="en-US"/>
        </w:rPr>
        <w:t xml:space="preserve">By </w:t>
      </w:r>
      <w:r w:rsidR="002523A3" w:rsidRPr="009C2825">
        <w:rPr>
          <w:lang w:val="en-US"/>
        </w:rPr>
        <w:t xml:space="preserve">opening up those sectors to greater competition, </w:t>
      </w:r>
      <w:r w:rsidRPr="009C2825">
        <w:rPr>
          <w:lang w:val="en-US"/>
        </w:rPr>
        <w:t xml:space="preserve">EU law did substantially change the </w:t>
      </w:r>
      <w:r w:rsidR="009C2825" w:rsidRPr="009C2825">
        <w:rPr>
          <w:lang w:val="en-US"/>
        </w:rPr>
        <w:t xml:space="preserve">rules </w:t>
      </w:r>
      <w:r w:rsidRPr="009C2825">
        <w:rPr>
          <w:lang w:val="en-US"/>
        </w:rPr>
        <w:t xml:space="preserve">applicable to such activities. The understanding of these rules needs </w:t>
      </w:r>
      <w:r w:rsidR="00BF0913" w:rsidRPr="009C2825">
        <w:rPr>
          <w:lang w:val="en-US"/>
        </w:rPr>
        <w:t xml:space="preserve">a </w:t>
      </w:r>
      <w:r w:rsidR="009C2825" w:rsidRPr="009C2825">
        <w:rPr>
          <w:lang w:val="en-US"/>
        </w:rPr>
        <w:t>crosscutting</w:t>
      </w:r>
      <w:r w:rsidR="00BF0913" w:rsidRPr="009C2825">
        <w:rPr>
          <w:lang w:val="en-US"/>
        </w:rPr>
        <w:t xml:space="preserve"> approach, </w:t>
      </w:r>
      <w:r w:rsidR="009C2825" w:rsidRPr="009C2825">
        <w:rPr>
          <w:lang w:val="en-US"/>
        </w:rPr>
        <w:t xml:space="preserve">combining internal market law, EU competition law, the legal regime of core economic freedoms, </w:t>
      </w:r>
    </w:p>
    <w:p w:rsidR="00183D51" w:rsidRPr="009C2825" w:rsidRDefault="00183D51" w:rsidP="003C6686">
      <w:pPr>
        <w:jc w:val="both"/>
        <w:rPr>
          <w:lang w:val="en-US"/>
        </w:rPr>
      </w:pPr>
      <w:r w:rsidRPr="009C2825">
        <w:rPr>
          <w:lang w:val="en-US"/>
        </w:rPr>
        <w:t xml:space="preserve">Moreover, recent major events – such as the pandemic, the decrease of multilateralism and the conflict in Ukraine – has fostered new legal orientations for the functioning and the regulation of network markets.  </w:t>
      </w:r>
      <w:r w:rsidR="007E7CC4">
        <w:rPr>
          <w:lang w:val="en-US"/>
        </w:rPr>
        <w:t xml:space="preserve">New tendencies are underway, like a greater focus on EU independency, </w:t>
      </w:r>
      <w:r w:rsidR="00884CD7">
        <w:rPr>
          <w:lang w:val="en-US"/>
        </w:rPr>
        <w:t xml:space="preserve">and a deep </w:t>
      </w:r>
      <w:r w:rsidR="007E7CC4">
        <w:rPr>
          <w:lang w:val="en-US"/>
        </w:rPr>
        <w:t xml:space="preserve">insistence on EU strategic autonomy </w:t>
      </w:r>
      <w:r w:rsidR="00884CD7">
        <w:rPr>
          <w:lang w:val="en-US"/>
        </w:rPr>
        <w:t xml:space="preserve">with </w:t>
      </w:r>
      <w:r w:rsidR="007E7CC4">
        <w:rPr>
          <w:lang w:val="en-US"/>
        </w:rPr>
        <w:t xml:space="preserve">the development of new tools of financing (EU green deal, </w:t>
      </w:r>
      <w:proofErr w:type="spellStart"/>
      <w:r w:rsidR="007E7CC4">
        <w:rPr>
          <w:lang w:val="en-US"/>
        </w:rPr>
        <w:t>RePoWer</w:t>
      </w:r>
      <w:proofErr w:type="spellEnd"/>
      <w:r w:rsidR="007E7CC4">
        <w:rPr>
          <w:lang w:val="en-US"/>
        </w:rPr>
        <w:t xml:space="preserve"> action plan).  </w:t>
      </w:r>
      <w:r w:rsidR="00884CD7" w:rsidRPr="00884CD7">
        <w:rPr>
          <w:lang w:val="en-US"/>
        </w:rPr>
        <w:t>The aim of this course is to combine the study of the various regulated markets in Europe with the growing imperatives linked to the Union's strategic autonomy.</w:t>
      </w:r>
    </w:p>
    <w:p w:rsidR="006B7EF6" w:rsidRPr="00280C50" w:rsidRDefault="00280C50" w:rsidP="003C6686">
      <w:pPr>
        <w:jc w:val="both"/>
        <w:rPr>
          <w:b/>
          <w:sz w:val="24"/>
          <w:szCs w:val="24"/>
          <w:lang w:val="en-US"/>
        </w:rPr>
      </w:pPr>
      <w:r w:rsidRPr="00280C50">
        <w:rPr>
          <w:b/>
          <w:sz w:val="24"/>
          <w:szCs w:val="24"/>
          <w:lang w:val="en-US"/>
        </w:rPr>
        <w:t xml:space="preserve">II </w:t>
      </w:r>
      <w:r>
        <w:rPr>
          <w:b/>
          <w:sz w:val="24"/>
          <w:szCs w:val="24"/>
          <w:lang w:val="en-US"/>
        </w:rPr>
        <w:t>–</w:t>
      </w:r>
      <w:r w:rsidRPr="00280C50">
        <w:rPr>
          <w:b/>
          <w:sz w:val="24"/>
          <w:szCs w:val="24"/>
          <w:lang w:val="en-US"/>
        </w:rPr>
        <w:t xml:space="preserve"> </w:t>
      </w:r>
      <w:r>
        <w:rPr>
          <w:b/>
          <w:sz w:val="24"/>
          <w:szCs w:val="24"/>
          <w:lang w:val="en-US"/>
        </w:rPr>
        <w:t xml:space="preserve">General bibliography </w:t>
      </w:r>
      <w:r w:rsidR="00287FEA" w:rsidRPr="00280C50">
        <w:rPr>
          <w:b/>
          <w:sz w:val="24"/>
          <w:szCs w:val="24"/>
          <w:lang w:val="en-US"/>
        </w:rPr>
        <w:t xml:space="preserve"> </w:t>
      </w:r>
    </w:p>
    <w:p w:rsidR="006B7EF6" w:rsidRDefault="00F54ABD" w:rsidP="003C6686">
      <w:pPr>
        <w:jc w:val="both"/>
        <w:rPr>
          <w:lang w:val="en-US"/>
        </w:rPr>
      </w:pPr>
      <w:r w:rsidRPr="00F54ABD">
        <w:rPr>
          <w:lang w:val="en-US"/>
        </w:rPr>
        <w:t>The course is supported by a handout</w:t>
      </w:r>
      <w:r w:rsidR="007E7CC4">
        <w:rPr>
          <w:lang w:val="en-US"/>
        </w:rPr>
        <w:t xml:space="preserve"> (see annex). Students can also refer to the following readings – easy access can used trough the database “</w:t>
      </w:r>
      <w:proofErr w:type="spellStart"/>
      <w:r w:rsidR="007E7CC4">
        <w:rPr>
          <w:lang w:val="en-US"/>
        </w:rPr>
        <w:t>Stradalex</w:t>
      </w:r>
      <w:proofErr w:type="spellEnd"/>
      <w:r w:rsidR="007E7CC4">
        <w:rPr>
          <w:lang w:val="en-US"/>
        </w:rPr>
        <w:t xml:space="preserve">” (on line:  </w:t>
      </w:r>
      <w:r w:rsidR="00C71D0B">
        <w:fldChar w:fldCharType="begin"/>
      </w:r>
      <w:r w:rsidR="00C71D0B" w:rsidRPr="00C71D0B">
        <w:rPr>
          <w:lang w:val="en-US"/>
        </w:rPr>
        <w:instrText xml:space="preserve"> HYPERLINK "https://athena.u-pec.fr/discovery/openurl?instit</w:instrText>
      </w:r>
      <w:r w:rsidR="00C71D0B" w:rsidRPr="00C71D0B">
        <w:rPr>
          <w:lang w:val="en-US"/>
        </w:rPr>
        <w:instrText xml:space="preserve">ution=33BUCRET_INST&amp;vid=33BUCRET_INST:upec&amp;vid=33BUCRET_INST:upec&amp;rft.mms_id=997644224404611&amp;url_ctx_val=&amp;isSerivcesPage=true&amp;url_ctx_fmt=null" </w:instrText>
      </w:r>
      <w:r w:rsidR="00C71D0B">
        <w:fldChar w:fldCharType="separate"/>
      </w:r>
      <w:r w:rsidR="007E7CC4" w:rsidRPr="003A6AA7">
        <w:rPr>
          <w:rStyle w:val="Lienhypertexte"/>
          <w:lang w:val="en-US"/>
        </w:rPr>
        <w:t>https://athena.u-pec.fr/discovery/openurl?institution=33BUCRET_INST&amp;vid=33BUCRET_INST:upec&amp;vid=33BUCRET_INST:upec&amp;rft.mms_id=997644224404611&amp;url_ctx_val=&amp;isSerivcesPage=true&amp;url_ctx_fmt=null</w:t>
      </w:r>
      <w:r w:rsidR="00C71D0B">
        <w:rPr>
          <w:rStyle w:val="Lienhypertexte"/>
          <w:lang w:val="en-US"/>
        </w:rPr>
        <w:fldChar w:fldCharType="end"/>
      </w:r>
      <w:r w:rsidR="007E7CC4">
        <w:rPr>
          <w:lang w:val="en-US"/>
        </w:rPr>
        <w:t xml:space="preserve">) </w:t>
      </w:r>
    </w:p>
    <w:p w:rsidR="003C6686" w:rsidRPr="003C6686" w:rsidRDefault="003C6686" w:rsidP="003C6686">
      <w:pPr>
        <w:jc w:val="both"/>
        <w:rPr>
          <w:sz w:val="20"/>
          <w:szCs w:val="20"/>
        </w:rPr>
      </w:pPr>
      <w:r w:rsidRPr="00706C81">
        <w:rPr>
          <w:sz w:val="20"/>
          <w:szCs w:val="20"/>
          <w:lang w:val="en-US"/>
        </w:rPr>
        <w:t xml:space="preserve">P. </w:t>
      </w:r>
      <w:proofErr w:type="spellStart"/>
      <w:r w:rsidRPr="00706C81">
        <w:rPr>
          <w:sz w:val="20"/>
          <w:szCs w:val="20"/>
          <w:lang w:val="en-US"/>
        </w:rPr>
        <w:t>Corruble</w:t>
      </w:r>
      <w:proofErr w:type="spellEnd"/>
      <w:r w:rsidRPr="00706C81">
        <w:rPr>
          <w:sz w:val="20"/>
          <w:szCs w:val="20"/>
          <w:lang w:val="en-US"/>
        </w:rPr>
        <w:t xml:space="preserve">, </w:t>
      </w:r>
      <w:r w:rsidRPr="00706C81">
        <w:rPr>
          <w:i/>
          <w:sz w:val="20"/>
          <w:szCs w:val="20"/>
          <w:lang w:val="en-US"/>
        </w:rPr>
        <w:t>EU competition law applicable to liner shipping and seaports</w:t>
      </w:r>
      <w:r w:rsidRPr="00706C81">
        <w:rPr>
          <w:sz w:val="20"/>
          <w:szCs w:val="20"/>
          <w:lang w:val="en-US"/>
        </w:rPr>
        <w:t xml:space="preserve">, </w:t>
      </w:r>
      <w:proofErr w:type="spellStart"/>
      <w:r w:rsidRPr="00706C81">
        <w:rPr>
          <w:sz w:val="20"/>
          <w:szCs w:val="20"/>
          <w:lang w:val="en-US"/>
        </w:rPr>
        <w:t>Bruylant</w:t>
      </w:r>
      <w:proofErr w:type="spellEnd"/>
      <w:r w:rsidRPr="00706C81">
        <w:rPr>
          <w:sz w:val="20"/>
          <w:szCs w:val="20"/>
          <w:lang w:val="en-US"/>
        </w:rPr>
        <w:t xml:space="preserve">, coll. </w:t>
      </w:r>
      <w:r w:rsidRPr="003C6686">
        <w:rPr>
          <w:sz w:val="20"/>
          <w:szCs w:val="20"/>
        </w:rPr>
        <w:t>Droit de la concurrence</w:t>
      </w:r>
    </w:p>
    <w:p w:rsidR="003C6686" w:rsidRPr="003C6686" w:rsidRDefault="003C6686" w:rsidP="003C6686">
      <w:pPr>
        <w:jc w:val="both"/>
        <w:rPr>
          <w:sz w:val="20"/>
          <w:szCs w:val="20"/>
        </w:rPr>
      </w:pPr>
      <w:r w:rsidRPr="003C6686">
        <w:rPr>
          <w:sz w:val="20"/>
          <w:szCs w:val="20"/>
        </w:rPr>
        <w:t xml:space="preserve">M. </w:t>
      </w:r>
      <w:proofErr w:type="spellStart"/>
      <w:r w:rsidRPr="003C6686">
        <w:rPr>
          <w:sz w:val="20"/>
          <w:szCs w:val="20"/>
        </w:rPr>
        <w:t>Karpenschiff</w:t>
      </w:r>
      <w:proofErr w:type="spellEnd"/>
      <w:r w:rsidRPr="003C6686">
        <w:rPr>
          <w:i/>
          <w:sz w:val="20"/>
          <w:szCs w:val="20"/>
        </w:rPr>
        <w:t>, Manuel de droit européen des aides d'Etat</w:t>
      </w:r>
      <w:r w:rsidRPr="003C6686">
        <w:rPr>
          <w:sz w:val="20"/>
          <w:szCs w:val="20"/>
        </w:rPr>
        <w:t xml:space="preserve">, 4ème </w:t>
      </w:r>
      <w:proofErr w:type="spellStart"/>
      <w:r w:rsidRPr="003C6686">
        <w:rPr>
          <w:sz w:val="20"/>
          <w:szCs w:val="20"/>
        </w:rPr>
        <w:t>ed</w:t>
      </w:r>
      <w:proofErr w:type="spellEnd"/>
      <w:r w:rsidRPr="003C6686">
        <w:rPr>
          <w:sz w:val="20"/>
          <w:szCs w:val="20"/>
        </w:rPr>
        <w:t xml:space="preserve">., </w:t>
      </w:r>
      <w:proofErr w:type="spellStart"/>
      <w:r w:rsidRPr="003C6686">
        <w:rPr>
          <w:sz w:val="20"/>
          <w:szCs w:val="20"/>
        </w:rPr>
        <w:t>Bruylant</w:t>
      </w:r>
      <w:proofErr w:type="spellEnd"/>
      <w:r w:rsidRPr="003C6686">
        <w:rPr>
          <w:sz w:val="20"/>
          <w:szCs w:val="20"/>
        </w:rPr>
        <w:t>, coll. Droit de la concurrence</w:t>
      </w:r>
    </w:p>
    <w:p w:rsidR="007E7CC4" w:rsidRPr="007A5B53" w:rsidRDefault="007E7CC4" w:rsidP="003C6686">
      <w:pPr>
        <w:jc w:val="both"/>
        <w:rPr>
          <w:sz w:val="20"/>
          <w:szCs w:val="20"/>
        </w:rPr>
      </w:pPr>
      <w:r w:rsidRPr="007A5B53">
        <w:rPr>
          <w:sz w:val="20"/>
          <w:szCs w:val="20"/>
        </w:rPr>
        <w:t xml:space="preserve">L. Vogel, </w:t>
      </w:r>
      <w:proofErr w:type="spellStart"/>
      <w:r w:rsidRPr="007A5B53">
        <w:rPr>
          <w:i/>
          <w:sz w:val="20"/>
          <w:szCs w:val="20"/>
        </w:rPr>
        <w:t>European</w:t>
      </w:r>
      <w:proofErr w:type="spellEnd"/>
      <w:r w:rsidRPr="007A5B53">
        <w:rPr>
          <w:i/>
          <w:sz w:val="20"/>
          <w:szCs w:val="20"/>
        </w:rPr>
        <w:t xml:space="preserve"> </w:t>
      </w:r>
      <w:proofErr w:type="spellStart"/>
      <w:r w:rsidRPr="007A5B53">
        <w:rPr>
          <w:i/>
          <w:sz w:val="20"/>
          <w:szCs w:val="20"/>
        </w:rPr>
        <w:t>Competition</w:t>
      </w:r>
      <w:proofErr w:type="spellEnd"/>
      <w:r w:rsidRPr="007A5B53">
        <w:rPr>
          <w:i/>
          <w:sz w:val="20"/>
          <w:szCs w:val="20"/>
        </w:rPr>
        <w:t xml:space="preserve"> Law</w:t>
      </w:r>
      <w:r w:rsidRPr="007A5B53">
        <w:rPr>
          <w:sz w:val="20"/>
          <w:szCs w:val="20"/>
        </w:rPr>
        <w:t xml:space="preserve">, </w:t>
      </w:r>
      <w:proofErr w:type="spellStart"/>
      <w:r w:rsidRPr="007A5B53">
        <w:rPr>
          <w:sz w:val="20"/>
          <w:szCs w:val="20"/>
        </w:rPr>
        <w:t>Bruylant</w:t>
      </w:r>
      <w:proofErr w:type="spellEnd"/>
      <w:r w:rsidRPr="007A5B53">
        <w:rPr>
          <w:sz w:val="20"/>
          <w:szCs w:val="20"/>
        </w:rPr>
        <w:t xml:space="preserve">, 2020 (on line </w:t>
      </w:r>
      <w:proofErr w:type="spellStart"/>
      <w:r w:rsidRPr="007A5B53">
        <w:rPr>
          <w:sz w:val="20"/>
          <w:szCs w:val="20"/>
        </w:rPr>
        <w:t>stradalex</w:t>
      </w:r>
      <w:proofErr w:type="spellEnd"/>
      <w:r w:rsidRPr="007A5B53">
        <w:rPr>
          <w:sz w:val="20"/>
          <w:szCs w:val="20"/>
        </w:rPr>
        <w:t>)</w:t>
      </w:r>
    </w:p>
    <w:p w:rsidR="00BB60C0" w:rsidRPr="003C6686" w:rsidRDefault="00BB60C0" w:rsidP="003C6686">
      <w:pPr>
        <w:jc w:val="both"/>
        <w:rPr>
          <w:sz w:val="20"/>
          <w:szCs w:val="20"/>
        </w:rPr>
      </w:pPr>
      <w:r w:rsidRPr="003C6686">
        <w:rPr>
          <w:sz w:val="20"/>
          <w:szCs w:val="20"/>
        </w:rPr>
        <w:t xml:space="preserve">S. de La Rosa, </w:t>
      </w:r>
      <w:r w:rsidRPr="003C6686">
        <w:rPr>
          <w:i/>
          <w:sz w:val="20"/>
          <w:szCs w:val="20"/>
        </w:rPr>
        <w:t>Droit européen de la commande publique</w:t>
      </w:r>
      <w:r w:rsidRPr="003C6686">
        <w:rPr>
          <w:sz w:val="20"/>
          <w:szCs w:val="20"/>
        </w:rPr>
        <w:t xml:space="preserve">, </w:t>
      </w:r>
      <w:proofErr w:type="spellStart"/>
      <w:r w:rsidRPr="003C6686">
        <w:rPr>
          <w:sz w:val="20"/>
          <w:szCs w:val="20"/>
        </w:rPr>
        <w:t>Bruylant</w:t>
      </w:r>
      <w:proofErr w:type="spellEnd"/>
      <w:r w:rsidRPr="003C6686">
        <w:rPr>
          <w:sz w:val="20"/>
          <w:szCs w:val="20"/>
        </w:rPr>
        <w:t>, coll. Manuel, 2021</w:t>
      </w:r>
    </w:p>
    <w:p w:rsidR="00BB60C0" w:rsidRPr="003C6686" w:rsidRDefault="00BB60C0" w:rsidP="003C6686">
      <w:pPr>
        <w:jc w:val="both"/>
        <w:rPr>
          <w:sz w:val="20"/>
          <w:szCs w:val="20"/>
        </w:rPr>
      </w:pPr>
      <w:r w:rsidRPr="003C6686">
        <w:rPr>
          <w:sz w:val="20"/>
          <w:szCs w:val="20"/>
        </w:rPr>
        <w:t>S. de La Rosa (</w:t>
      </w:r>
      <w:proofErr w:type="spellStart"/>
      <w:r w:rsidRPr="003C6686">
        <w:rPr>
          <w:sz w:val="20"/>
          <w:szCs w:val="20"/>
        </w:rPr>
        <w:t>dir</w:t>
      </w:r>
      <w:proofErr w:type="spellEnd"/>
      <w:r w:rsidRPr="003C6686">
        <w:rPr>
          <w:sz w:val="20"/>
          <w:szCs w:val="20"/>
        </w:rPr>
        <w:t xml:space="preserve">.), </w:t>
      </w:r>
      <w:r w:rsidRPr="003C6686">
        <w:rPr>
          <w:i/>
          <w:sz w:val="20"/>
          <w:szCs w:val="20"/>
        </w:rPr>
        <w:t>Principes des contrats publics en Europe</w:t>
      </w:r>
      <w:r w:rsidRPr="003C6686">
        <w:rPr>
          <w:sz w:val="20"/>
          <w:szCs w:val="20"/>
        </w:rPr>
        <w:t xml:space="preserve">, </w:t>
      </w:r>
      <w:proofErr w:type="spellStart"/>
      <w:r w:rsidR="003C6686" w:rsidRPr="003C6686">
        <w:rPr>
          <w:sz w:val="20"/>
          <w:szCs w:val="20"/>
        </w:rPr>
        <w:t>Bruylant</w:t>
      </w:r>
      <w:proofErr w:type="spellEnd"/>
      <w:r w:rsidR="003C6686" w:rsidRPr="003C6686">
        <w:rPr>
          <w:sz w:val="20"/>
          <w:szCs w:val="20"/>
        </w:rPr>
        <w:t xml:space="preserve">, </w:t>
      </w:r>
      <w:proofErr w:type="spellStart"/>
      <w:r w:rsidR="003C6686" w:rsidRPr="003C6686">
        <w:rPr>
          <w:sz w:val="20"/>
          <w:szCs w:val="20"/>
        </w:rPr>
        <w:t>coll</w:t>
      </w:r>
      <w:proofErr w:type="spellEnd"/>
      <w:r w:rsidR="003C6686" w:rsidRPr="003C6686">
        <w:rPr>
          <w:sz w:val="20"/>
          <w:szCs w:val="20"/>
        </w:rPr>
        <w:t xml:space="preserve"> Administratif Law, 2022</w:t>
      </w:r>
    </w:p>
    <w:p w:rsidR="007E7CC4" w:rsidRPr="00BB60C0" w:rsidRDefault="007E7CC4" w:rsidP="003C6686">
      <w:pPr>
        <w:jc w:val="both"/>
      </w:pPr>
      <w:proofErr w:type="spellStart"/>
      <w:r w:rsidRPr="007E7CC4">
        <w:rPr>
          <w:b/>
          <w:i/>
        </w:rPr>
        <w:lastRenderedPageBreak/>
        <w:t>Useful</w:t>
      </w:r>
      <w:proofErr w:type="spellEnd"/>
      <w:r w:rsidRPr="007E7CC4">
        <w:rPr>
          <w:b/>
          <w:i/>
        </w:rPr>
        <w:t xml:space="preserve"> </w:t>
      </w:r>
      <w:proofErr w:type="spellStart"/>
      <w:r w:rsidRPr="007E7CC4">
        <w:rPr>
          <w:b/>
          <w:i/>
        </w:rPr>
        <w:t>reviews</w:t>
      </w:r>
      <w:proofErr w:type="spellEnd"/>
      <w:r>
        <w:t> : Concurrences, Europe</w:t>
      </w:r>
      <w:r w:rsidR="003C6686">
        <w:t xml:space="preserve"> (Lexis </w:t>
      </w:r>
      <w:proofErr w:type="spellStart"/>
      <w:r w:rsidR="003C6686">
        <w:t>Nexis</w:t>
      </w:r>
      <w:proofErr w:type="spellEnd"/>
      <w:r w:rsidR="003C6686">
        <w:t>)</w:t>
      </w:r>
      <w:r>
        <w:t xml:space="preserve">, Common </w:t>
      </w:r>
      <w:proofErr w:type="spellStart"/>
      <w:r>
        <w:t>Market</w:t>
      </w:r>
      <w:proofErr w:type="spellEnd"/>
      <w:r>
        <w:t xml:space="preserve"> Law, </w:t>
      </w:r>
      <w:r w:rsidR="003C6686">
        <w:t>Cahiers de droit européen (</w:t>
      </w:r>
      <w:proofErr w:type="spellStart"/>
      <w:r w:rsidR="003C6686">
        <w:t>Stradalex</w:t>
      </w:r>
      <w:proofErr w:type="spellEnd"/>
      <w:r w:rsidR="003C6686">
        <w:t>), Revue des affaires Européennes (</w:t>
      </w:r>
      <w:proofErr w:type="spellStart"/>
      <w:r w:rsidR="003C6686">
        <w:t>Stradalex</w:t>
      </w:r>
      <w:proofErr w:type="spellEnd"/>
      <w:r w:rsidR="003C6686">
        <w:t xml:space="preserve">),  EU </w:t>
      </w:r>
      <w:proofErr w:type="spellStart"/>
      <w:r w:rsidR="003C6686">
        <w:t>law</w:t>
      </w:r>
      <w:proofErr w:type="spellEnd"/>
      <w:r w:rsidR="003C6686">
        <w:t xml:space="preserve"> live (en ligne : </w:t>
      </w:r>
      <w:hyperlink r:id="rId10" w:history="1">
        <w:r w:rsidR="003C6686" w:rsidRPr="003A6AA7">
          <w:rPr>
            <w:rStyle w:val="Lienhypertexte"/>
          </w:rPr>
          <w:t>https://eulawlive.com/</w:t>
        </w:r>
      </w:hyperlink>
      <w:r w:rsidR="003C6686">
        <w:t xml:space="preserve">). </w:t>
      </w:r>
    </w:p>
    <w:p w:rsidR="00F54ABD" w:rsidRPr="00706C81" w:rsidRDefault="00280C50">
      <w:pPr>
        <w:rPr>
          <w:b/>
          <w:sz w:val="24"/>
          <w:szCs w:val="24"/>
          <w:lang w:val="en-US"/>
        </w:rPr>
      </w:pPr>
      <w:r w:rsidRPr="00706C81">
        <w:rPr>
          <w:b/>
          <w:sz w:val="24"/>
          <w:szCs w:val="24"/>
          <w:lang w:val="en-US"/>
        </w:rPr>
        <w:t>III – Syllabus</w:t>
      </w:r>
    </w:p>
    <w:p w:rsidR="006B7EF6" w:rsidRPr="00CA1C6A" w:rsidRDefault="006B7EF6" w:rsidP="006B7EF6">
      <w:pPr>
        <w:jc w:val="both"/>
        <w:rPr>
          <w:b/>
          <w:lang w:val="en-US"/>
        </w:rPr>
      </w:pPr>
      <w:r w:rsidRPr="00B50D4C">
        <w:rPr>
          <w:b/>
          <w:smallCaps/>
          <w:sz w:val="24"/>
          <w:szCs w:val="24"/>
          <w:lang w:val="en-US"/>
        </w:rPr>
        <w:t>Chapter 1 - Overall presentation of network activities, legal framework and current issues</w:t>
      </w:r>
      <w:r w:rsidR="0006544B">
        <w:rPr>
          <w:b/>
          <w:lang w:val="en-US"/>
        </w:rPr>
        <w:t xml:space="preserve"> </w:t>
      </w:r>
      <w:r w:rsidRPr="00CA1C6A">
        <w:rPr>
          <w:b/>
          <w:lang w:val="en-US"/>
        </w:rPr>
        <w:t>(slide 1)</w:t>
      </w:r>
    </w:p>
    <w:p w:rsidR="00280C50" w:rsidRPr="00280C50" w:rsidRDefault="00280C50" w:rsidP="00280C50">
      <w:pPr>
        <w:pStyle w:val="Paragraphedeliste"/>
        <w:numPr>
          <w:ilvl w:val="0"/>
          <w:numId w:val="5"/>
        </w:numPr>
        <w:rPr>
          <w:rFonts w:asciiTheme="minorHAnsi" w:hAnsiTheme="minorHAnsi"/>
          <w:b/>
        </w:rPr>
      </w:pPr>
      <w:r w:rsidRPr="00280C50">
        <w:rPr>
          <w:b/>
        </w:rPr>
        <w:t xml:space="preserve">Learning objectives </w:t>
      </w:r>
    </w:p>
    <w:p w:rsidR="002523A3" w:rsidRPr="00280C50" w:rsidRDefault="002523A3" w:rsidP="00280C50">
      <w:pPr>
        <w:pStyle w:val="Paragraphedeliste"/>
        <w:numPr>
          <w:ilvl w:val="0"/>
          <w:numId w:val="6"/>
        </w:numPr>
        <w:rPr>
          <w:rFonts w:asciiTheme="minorHAnsi" w:hAnsiTheme="minorHAnsi"/>
        </w:rPr>
      </w:pPr>
      <w:r w:rsidRPr="00280C50">
        <w:rPr>
          <w:rFonts w:asciiTheme="minorHAnsi" w:hAnsiTheme="minorHAnsi"/>
        </w:rPr>
        <w:t>How to define a network industry: existence of a general interest (art. 106), natural monopolies, economy of scale</w:t>
      </w:r>
    </w:p>
    <w:p w:rsidR="002523A3" w:rsidRPr="00280C50" w:rsidRDefault="002523A3" w:rsidP="00280C50">
      <w:pPr>
        <w:pStyle w:val="Paragraphedeliste"/>
        <w:numPr>
          <w:ilvl w:val="0"/>
          <w:numId w:val="6"/>
        </w:numPr>
        <w:rPr>
          <w:rFonts w:asciiTheme="minorHAnsi" w:hAnsiTheme="minorHAnsi"/>
        </w:rPr>
      </w:pPr>
      <w:r w:rsidRPr="00280C50">
        <w:rPr>
          <w:rFonts w:asciiTheme="minorHAnsi" w:hAnsiTheme="minorHAnsi"/>
        </w:rPr>
        <w:t>How to define regulation in this context: seek of equilibrium under imperfect competition</w:t>
      </w:r>
    </w:p>
    <w:p w:rsidR="002523A3" w:rsidRPr="00280C50" w:rsidRDefault="002523A3" w:rsidP="00280C50">
      <w:pPr>
        <w:pStyle w:val="Paragraphedeliste"/>
        <w:numPr>
          <w:ilvl w:val="0"/>
          <w:numId w:val="6"/>
        </w:numPr>
        <w:rPr>
          <w:rFonts w:asciiTheme="minorHAnsi" w:eastAsia="Calibri" w:hAnsiTheme="minorHAnsi"/>
        </w:rPr>
      </w:pPr>
      <w:r w:rsidRPr="00280C50">
        <w:rPr>
          <w:rFonts w:asciiTheme="minorHAnsi" w:eastAsia="Calibri" w:hAnsiTheme="minorHAnsi"/>
        </w:rPr>
        <w:t xml:space="preserve">Scope of network regulation in EU law: </w:t>
      </w:r>
      <w:r w:rsidR="00280C50">
        <w:rPr>
          <w:rFonts w:asciiTheme="minorHAnsi" w:hAnsiTheme="minorHAnsi" w:cs="Segoe Print"/>
        </w:rPr>
        <w:t>communications, gas</w:t>
      </w:r>
      <w:r w:rsidRPr="00280C50">
        <w:rPr>
          <w:rFonts w:asciiTheme="minorHAnsi" w:hAnsiTheme="minorHAnsi" w:cs="Segoe Print"/>
        </w:rPr>
        <w:t>, electricity, rail, road, air, postal services</w:t>
      </w:r>
    </w:p>
    <w:p w:rsidR="002523A3" w:rsidRDefault="002523A3" w:rsidP="00280C50">
      <w:pPr>
        <w:pStyle w:val="Paragraphedeliste"/>
        <w:numPr>
          <w:ilvl w:val="0"/>
          <w:numId w:val="6"/>
        </w:numPr>
        <w:rPr>
          <w:rFonts w:asciiTheme="minorHAnsi" w:eastAsia="Calibri" w:hAnsiTheme="minorHAnsi"/>
        </w:rPr>
      </w:pPr>
      <w:r w:rsidRPr="00280C50">
        <w:rPr>
          <w:rFonts w:asciiTheme="minorHAnsi" w:eastAsia="Calibri" w:hAnsiTheme="minorHAnsi"/>
        </w:rPr>
        <w:t>Principles underpinning regulated markets: Unbundling of upstream and downstream operations, Non-discriminatory third party access to the network, setting up of regulatory authorities, recognition of universal service</w:t>
      </w:r>
    </w:p>
    <w:p w:rsidR="0034301E" w:rsidRPr="00280C50" w:rsidRDefault="0034301E" w:rsidP="00280C50">
      <w:pPr>
        <w:pStyle w:val="Paragraphedeliste"/>
        <w:numPr>
          <w:ilvl w:val="0"/>
          <w:numId w:val="6"/>
        </w:numPr>
        <w:rPr>
          <w:rFonts w:asciiTheme="minorHAnsi" w:eastAsia="Calibri" w:hAnsiTheme="minorHAnsi"/>
        </w:rPr>
      </w:pPr>
      <w:r>
        <w:rPr>
          <w:rFonts w:asciiTheme="minorHAnsi" w:eastAsia="Calibri" w:hAnsiTheme="minorHAnsi"/>
        </w:rPr>
        <w:t xml:space="preserve">New issues of EU strategic autonomy </w:t>
      </w:r>
    </w:p>
    <w:p w:rsidR="002523A3" w:rsidRDefault="002523A3" w:rsidP="006B7EF6">
      <w:pPr>
        <w:jc w:val="both"/>
        <w:rPr>
          <w:lang w:val="en-US"/>
        </w:rPr>
      </w:pPr>
    </w:p>
    <w:p w:rsidR="006B7EF6" w:rsidRPr="00280C50" w:rsidRDefault="006B7EF6" w:rsidP="006B7EF6">
      <w:pPr>
        <w:jc w:val="both"/>
        <w:rPr>
          <w:b/>
          <w:i/>
          <w:lang w:val="en-US"/>
        </w:rPr>
      </w:pPr>
      <w:r w:rsidRPr="00280C50">
        <w:rPr>
          <w:b/>
          <w:i/>
          <w:lang w:val="en-US"/>
        </w:rPr>
        <w:t xml:space="preserve">Section 1 – Network activities and services of general economic interest (SGEI) </w:t>
      </w:r>
      <w:r w:rsidR="00A221CB">
        <w:rPr>
          <w:b/>
          <w:i/>
          <w:lang w:val="en-US"/>
        </w:rPr>
        <w:t>- Introduction</w:t>
      </w:r>
    </w:p>
    <w:p w:rsidR="00280C50" w:rsidRPr="00280C50" w:rsidRDefault="00280C50" w:rsidP="00280C50">
      <w:pPr>
        <w:pStyle w:val="NormalWeb"/>
        <w:jc w:val="both"/>
        <w:rPr>
          <w:rFonts w:asciiTheme="minorHAnsi" w:hAnsiTheme="minorHAnsi" w:cstheme="minorHAnsi"/>
          <w:b/>
          <w:i/>
          <w:sz w:val="22"/>
          <w:szCs w:val="22"/>
          <w:lang w:val="en-US"/>
        </w:rPr>
      </w:pPr>
      <w:r w:rsidRPr="00280C50">
        <w:rPr>
          <w:rFonts w:asciiTheme="minorHAnsi" w:hAnsiTheme="minorHAnsi" w:cstheme="minorHAnsi"/>
          <w:b/>
          <w:i/>
          <w:sz w:val="22"/>
          <w:szCs w:val="22"/>
          <w:lang w:val="en-US"/>
        </w:rPr>
        <w:t xml:space="preserve">Art. </w:t>
      </w:r>
      <w:proofErr w:type="gramStart"/>
      <w:r w:rsidRPr="00280C50">
        <w:rPr>
          <w:rFonts w:asciiTheme="minorHAnsi" w:hAnsiTheme="minorHAnsi" w:cstheme="minorHAnsi"/>
          <w:b/>
          <w:i/>
          <w:sz w:val="22"/>
          <w:szCs w:val="22"/>
          <w:lang w:val="en-US"/>
        </w:rPr>
        <w:t>106</w:t>
      </w:r>
      <w:proofErr w:type="gramEnd"/>
      <w:r w:rsidRPr="00280C50">
        <w:rPr>
          <w:rFonts w:asciiTheme="minorHAnsi" w:hAnsiTheme="minorHAnsi" w:cstheme="minorHAnsi"/>
          <w:b/>
          <w:i/>
          <w:sz w:val="22"/>
          <w:szCs w:val="22"/>
          <w:lang w:val="en-US"/>
        </w:rPr>
        <w:t xml:space="preserve"> TFUE</w:t>
      </w:r>
    </w:p>
    <w:p w:rsidR="002F6CFD" w:rsidRPr="00280C50" w:rsidRDefault="002F6CFD" w:rsidP="00280C50">
      <w:pPr>
        <w:pStyle w:val="NormalWeb"/>
        <w:jc w:val="both"/>
        <w:rPr>
          <w:rFonts w:asciiTheme="minorHAnsi" w:hAnsiTheme="minorHAnsi" w:cstheme="minorHAnsi"/>
          <w:i/>
          <w:sz w:val="22"/>
          <w:szCs w:val="22"/>
          <w:lang w:val="en-US"/>
        </w:rPr>
      </w:pPr>
      <w:r w:rsidRPr="00280C50">
        <w:rPr>
          <w:rFonts w:asciiTheme="minorHAnsi" w:hAnsiTheme="minorHAnsi" w:cstheme="minorHAnsi"/>
          <w:i/>
          <w:sz w:val="22"/>
          <w:szCs w:val="22"/>
          <w:lang w:val="en-US"/>
        </w:rPr>
        <w:t>1. In the case of public undertakings and undertakings to which Member States grant special or exclusive rights, Member States shall neither enact nor maintain in force any measure contrary to the rules contained in the Treaties, in particular to those rules provided for in Article 18 and Articles 101 to 109.</w:t>
      </w:r>
    </w:p>
    <w:p w:rsidR="002F6CFD" w:rsidRPr="00280C50" w:rsidRDefault="002F6CFD" w:rsidP="00280C50">
      <w:pPr>
        <w:pStyle w:val="NormalWeb"/>
        <w:jc w:val="both"/>
        <w:rPr>
          <w:rFonts w:asciiTheme="minorHAnsi" w:hAnsiTheme="minorHAnsi" w:cstheme="minorHAnsi"/>
          <w:i/>
          <w:sz w:val="22"/>
          <w:szCs w:val="22"/>
          <w:lang w:val="en-US"/>
        </w:rPr>
      </w:pPr>
      <w:proofErr w:type="gramStart"/>
      <w:r w:rsidRPr="00280C50">
        <w:rPr>
          <w:rFonts w:asciiTheme="minorHAnsi" w:hAnsiTheme="minorHAnsi" w:cstheme="minorHAnsi"/>
          <w:i/>
          <w:sz w:val="22"/>
          <w:szCs w:val="22"/>
          <w:lang w:val="en-US"/>
        </w:rPr>
        <w:t>2. Undertakings entrusted with the operation of services of general economic interest or having the character of a revenue-producing monopoly shall be subject to the rules contained in the Treaties, in particular to the rules on competition, in so far as the application of such rules does not obstruct the performance, in law or in fact, of the particular tasks assigned to them.</w:t>
      </w:r>
      <w:proofErr w:type="gramEnd"/>
      <w:r w:rsidRPr="00280C50">
        <w:rPr>
          <w:rFonts w:asciiTheme="minorHAnsi" w:hAnsiTheme="minorHAnsi" w:cstheme="minorHAnsi"/>
          <w:i/>
          <w:sz w:val="22"/>
          <w:szCs w:val="22"/>
          <w:lang w:val="en-US"/>
        </w:rPr>
        <w:t xml:space="preserve"> The development of trade </w:t>
      </w:r>
      <w:proofErr w:type="gramStart"/>
      <w:r w:rsidRPr="00280C50">
        <w:rPr>
          <w:rFonts w:asciiTheme="minorHAnsi" w:hAnsiTheme="minorHAnsi" w:cstheme="minorHAnsi"/>
          <w:i/>
          <w:sz w:val="22"/>
          <w:szCs w:val="22"/>
          <w:lang w:val="en-US"/>
        </w:rPr>
        <w:t>must not be affected</w:t>
      </w:r>
      <w:proofErr w:type="gramEnd"/>
      <w:r w:rsidRPr="00280C50">
        <w:rPr>
          <w:rFonts w:asciiTheme="minorHAnsi" w:hAnsiTheme="minorHAnsi" w:cstheme="minorHAnsi"/>
          <w:i/>
          <w:sz w:val="22"/>
          <w:szCs w:val="22"/>
          <w:lang w:val="en-US"/>
        </w:rPr>
        <w:t xml:space="preserve"> to such an extent as would be contrary to the interests of the Union.</w:t>
      </w:r>
    </w:p>
    <w:p w:rsidR="002F6CFD" w:rsidRPr="00280C50" w:rsidRDefault="002F6CFD" w:rsidP="00280C50">
      <w:pPr>
        <w:pStyle w:val="NormalWeb"/>
        <w:jc w:val="both"/>
        <w:rPr>
          <w:rFonts w:asciiTheme="minorHAnsi" w:hAnsiTheme="minorHAnsi" w:cstheme="minorHAnsi"/>
          <w:i/>
          <w:sz w:val="22"/>
          <w:szCs w:val="22"/>
          <w:lang w:val="en-US"/>
        </w:rPr>
      </w:pPr>
      <w:r w:rsidRPr="00280C50">
        <w:rPr>
          <w:rFonts w:asciiTheme="minorHAnsi" w:hAnsiTheme="minorHAnsi" w:cstheme="minorHAnsi"/>
          <w:i/>
          <w:sz w:val="22"/>
          <w:szCs w:val="22"/>
          <w:lang w:val="en-US"/>
        </w:rPr>
        <w:t xml:space="preserve">3. The Commission shall ensure the application of the provisions of this Article and </w:t>
      </w:r>
      <w:proofErr w:type="gramStart"/>
      <w:r w:rsidRPr="00280C50">
        <w:rPr>
          <w:rFonts w:asciiTheme="minorHAnsi" w:hAnsiTheme="minorHAnsi" w:cstheme="minorHAnsi"/>
          <w:i/>
          <w:sz w:val="22"/>
          <w:szCs w:val="22"/>
          <w:lang w:val="en-US"/>
        </w:rPr>
        <w:t>shall, where necessary, address</w:t>
      </w:r>
      <w:proofErr w:type="gramEnd"/>
      <w:r w:rsidRPr="00280C50">
        <w:rPr>
          <w:rFonts w:asciiTheme="minorHAnsi" w:hAnsiTheme="minorHAnsi" w:cstheme="minorHAnsi"/>
          <w:i/>
          <w:sz w:val="22"/>
          <w:szCs w:val="22"/>
          <w:lang w:val="en-US"/>
        </w:rPr>
        <w:t xml:space="preserve"> appropriate directives or decisions to Member States.</w:t>
      </w:r>
    </w:p>
    <w:p w:rsidR="006B7EF6" w:rsidRPr="00280C50" w:rsidRDefault="006B7EF6" w:rsidP="006B7EF6">
      <w:pPr>
        <w:jc w:val="both"/>
        <w:rPr>
          <w:b/>
          <w:i/>
          <w:lang w:val="en-US"/>
        </w:rPr>
      </w:pPr>
      <w:r w:rsidRPr="00280C50">
        <w:rPr>
          <w:b/>
          <w:i/>
          <w:lang w:val="en-US"/>
        </w:rPr>
        <w:t xml:space="preserve">Section </w:t>
      </w:r>
      <w:proofErr w:type="gramStart"/>
      <w:r w:rsidRPr="00280C50">
        <w:rPr>
          <w:b/>
          <w:i/>
          <w:lang w:val="en-US"/>
        </w:rPr>
        <w:t>2</w:t>
      </w:r>
      <w:proofErr w:type="gramEnd"/>
      <w:r w:rsidRPr="00280C50">
        <w:rPr>
          <w:b/>
          <w:i/>
          <w:lang w:val="en-US"/>
        </w:rPr>
        <w:t xml:space="preserve"> – A new legal landscape for network activities </w:t>
      </w:r>
    </w:p>
    <w:p w:rsidR="00F54ABD" w:rsidRPr="00280C50" w:rsidRDefault="00F54ABD" w:rsidP="00280C50">
      <w:pPr>
        <w:jc w:val="both"/>
        <w:rPr>
          <w:rFonts w:cstheme="minorHAnsi"/>
          <w:lang w:val="en-US"/>
        </w:rPr>
      </w:pPr>
      <w:r w:rsidRPr="00280C50">
        <w:rPr>
          <w:rFonts w:eastAsia="Calibri" w:cstheme="minorHAnsi"/>
          <w:lang w:val="en-US"/>
        </w:rPr>
        <w:t>Electricity &amp; Gas</w:t>
      </w:r>
      <w:r w:rsidR="00280C50" w:rsidRPr="00280C50">
        <w:rPr>
          <w:rFonts w:eastAsia="Calibri" w:cstheme="minorHAnsi"/>
          <w:lang w:val="en-US"/>
        </w:rPr>
        <w:t xml:space="preserve"> : </w:t>
      </w:r>
      <w:r w:rsidRPr="00280C50">
        <w:rPr>
          <w:rFonts w:cstheme="minorHAnsi"/>
          <w:lang w:val="en-US"/>
        </w:rPr>
        <w:t xml:space="preserve">Directive (EU) 2019/944 of the European Parliament and of the Council of 5 June 2019 on common rules for the internal market for electricity and amending Directive 2012/27/EU </w:t>
      </w:r>
    </w:p>
    <w:p w:rsidR="00F54ABD" w:rsidRPr="00280C50" w:rsidRDefault="00F54ABD" w:rsidP="00280C50">
      <w:pPr>
        <w:rPr>
          <w:rFonts w:cstheme="minorHAnsi"/>
          <w:lang w:val="en-US"/>
        </w:rPr>
      </w:pPr>
      <w:r w:rsidRPr="00280C50">
        <w:rPr>
          <w:rFonts w:cstheme="minorHAnsi"/>
          <w:lang w:val="en-US"/>
        </w:rPr>
        <w:t>Directive (EU) 2019/692 of the European Parliament and of the Council of 17 April 2019 amending Directive 2009/73/EC concerning common rules for the internal market in natural gas</w:t>
      </w:r>
    </w:p>
    <w:p w:rsidR="00F54ABD" w:rsidRDefault="00280C50" w:rsidP="00280C50">
      <w:pPr>
        <w:rPr>
          <w:rFonts w:cstheme="minorHAnsi"/>
          <w:lang w:val="en-US"/>
        </w:rPr>
      </w:pPr>
      <w:r w:rsidRPr="00280C50">
        <w:rPr>
          <w:rFonts w:eastAsia="Calibri" w:cstheme="minorHAnsi"/>
          <w:lang w:val="en-US"/>
        </w:rPr>
        <w:t xml:space="preserve">Telecommunication: </w:t>
      </w:r>
      <w:r w:rsidR="00F54ABD" w:rsidRPr="00280C50">
        <w:rPr>
          <w:rFonts w:cstheme="minorHAnsi"/>
          <w:lang w:val="en-US"/>
        </w:rPr>
        <w:t>Directive (EU) 2018/1972 of the European Parliament and of the Council of 11 December 2018 establishing the European Electronic Communications Code (Recast)</w:t>
      </w:r>
    </w:p>
    <w:p w:rsidR="00F54ABD" w:rsidRPr="00280C50" w:rsidRDefault="00F54ABD" w:rsidP="00F54ABD">
      <w:pPr>
        <w:rPr>
          <w:rFonts w:cstheme="minorHAnsi"/>
          <w:lang w:val="en-US"/>
        </w:rPr>
      </w:pPr>
      <w:r w:rsidRPr="00280C50">
        <w:rPr>
          <w:rFonts w:cstheme="minorHAnsi"/>
          <w:lang w:val="en-US"/>
        </w:rPr>
        <w:lastRenderedPageBreak/>
        <w:t>Train / transport</w:t>
      </w:r>
      <w:r w:rsidR="00280C50" w:rsidRPr="00280C50">
        <w:rPr>
          <w:rFonts w:cstheme="minorHAnsi"/>
          <w:lang w:val="en-US"/>
        </w:rPr>
        <w:t xml:space="preserve"> : </w:t>
      </w:r>
      <w:r w:rsidRPr="00280C50">
        <w:rPr>
          <w:rFonts w:cstheme="minorHAnsi"/>
          <w:lang w:val="en-US"/>
        </w:rPr>
        <w:t>Directive (EU) 2016/2370 of the European Parliament and of the Council of 14 December 2016 amending Directive 2012/34/EU as regards the opening of the market for domestic passenger transport services by rail and the governance of the railway infrastructure</w:t>
      </w:r>
    </w:p>
    <w:p w:rsidR="00F54ABD" w:rsidRPr="00F54ABD" w:rsidRDefault="00F54ABD" w:rsidP="006B7EF6">
      <w:pPr>
        <w:jc w:val="both"/>
        <w:rPr>
          <w:lang w:val="en-US"/>
        </w:rPr>
      </w:pPr>
    </w:p>
    <w:p w:rsidR="00F54ABD" w:rsidRPr="00706C81" w:rsidRDefault="00B50D4C" w:rsidP="006B7EF6">
      <w:pPr>
        <w:jc w:val="both"/>
        <w:rPr>
          <w:rFonts w:ascii="Segoe UI" w:hAnsi="Segoe UI" w:cs="Segoe UI"/>
          <w:bCs/>
          <w:color w:val="333333"/>
          <w:sz w:val="21"/>
          <w:szCs w:val="21"/>
          <w:shd w:val="clear" w:color="auto" w:fill="FFFFFF"/>
          <w:lang w:val="en-US"/>
        </w:rPr>
      </w:pPr>
      <w:r w:rsidRPr="00706C81">
        <w:rPr>
          <w:rFonts w:ascii="Segoe UI" w:hAnsi="Segoe UI" w:cs="Segoe UI"/>
          <w:bCs/>
          <w:color w:val="333333"/>
          <w:sz w:val="21"/>
          <w:szCs w:val="21"/>
          <w:shd w:val="clear" w:color="auto" w:fill="FFFFFF"/>
          <w:lang w:val="en-US"/>
        </w:rPr>
        <w:t>Regulation (EU) 2021/1119 of the European Parliament and of the Council of 30 June 2021 establishing the framework for achieving climate neutrality and amending Regulations </w:t>
      </w:r>
    </w:p>
    <w:p w:rsidR="00B50D4C" w:rsidRPr="00B50D4C" w:rsidRDefault="00B50D4C" w:rsidP="006B7EF6">
      <w:pPr>
        <w:jc w:val="both"/>
        <w:rPr>
          <w:lang w:val="en-US"/>
        </w:rPr>
      </w:pPr>
      <w:r w:rsidRPr="00706C81">
        <w:rPr>
          <w:rFonts w:ascii="Segoe UI" w:hAnsi="Segoe UI" w:cs="Segoe UI"/>
          <w:bCs/>
          <w:color w:val="333333"/>
          <w:sz w:val="21"/>
          <w:szCs w:val="21"/>
          <w:shd w:val="clear" w:color="auto" w:fill="FFFFFF"/>
          <w:lang w:val="en-US"/>
        </w:rPr>
        <w:t xml:space="preserve">COMMUNICATION FROM THE COMMISSION TO THE EUROPEAN PARLIAMENT, THE EUROPEAN COUNCIL, THE COUNCIL, THE EUROPEAN ECONOMIC AND SOCIAL COMMITTEE AND THE COMMITTEE OF THE REGIONS </w:t>
      </w:r>
      <w:proofErr w:type="spellStart"/>
      <w:r w:rsidRPr="00706C81">
        <w:rPr>
          <w:rFonts w:ascii="Segoe UI" w:hAnsi="Segoe UI" w:cs="Segoe UI"/>
          <w:bCs/>
          <w:color w:val="333333"/>
          <w:sz w:val="21"/>
          <w:szCs w:val="21"/>
          <w:shd w:val="clear" w:color="auto" w:fill="FFFFFF"/>
          <w:lang w:val="en-US"/>
        </w:rPr>
        <w:t>REPowerEU</w:t>
      </w:r>
      <w:proofErr w:type="spellEnd"/>
      <w:r w:rsidRPr="00706C81">
        <w:rPr>
          <w:rFonts w:ascii="Segoe UI" w:hAnsi="Segoe UI" w:cs="Segoe UI"/>
          <w:bCs/>
          <w:color w:val="333333"/>
          <w:sz w:val="21"/>
          <w:szCs w:val="21"/>
          <w:shd w:val="clear" w:color="auto" w:fill="FFFFFF"/>
          <w:lang w:val="en-US"/>
        </w:rPr>
        <w:t xml:space="preserve"> Plan, COM 2022 230 final </w:t>
      </w:r>
    </w:p>
    <w:p w:rsidR="00A221CB" w:rsidRPr="00184DA7" w:rsidRDefault="00C71D0B" w:rsidP="006B7EF6">
      <w:pPr>
        <w:jc w:val="both"/>
        <w:rPr>
          <w:rFonts w:ascii="Times New Roman" w:hAnsi="Times New Roman" w:cs="Times New Roman"/>
          <w:b/>
          <w:i/>
        </w:rPr>
      </w:pPr>
      <w:hyperlink r:id="rId11" w:history="1">
        <w:r w:rsidR="00A221CB" w:rsidRPr="00184DA7">
          <w:rPr>
            <w:rFonts w:ascii="Times New Roman" w:hAnsi="Times New Roman" w:cs="Times New Roman"/>
            <w:shd w:val="clear" w:color="auto" w:fill="FFFFFF"/>
          </w:rPr>
          <w:t>Règlement (UE) 2021/1119 établissant le cadre requis pour parvenir à la neutralité climatique et modifiant les règlements (CE) n</w:t>
        </w:r>
        <w:r w:rsidR="00A221CB" w:rsidRPr="00184DA7">
          <w:rPr>
            <w:rFonts w:ascii="Times New Roman" w:hAnsi="Times New Roman" w:cs="Times New Roman"/>
            <w:shd w:val="clear" w:color="auto" w:fill="FFFFFF"/>
            <w:vertAlign w:val="superscript"/>
          </w:rPr>
          <w:t>o</w:t>
        </w:r>
        <w:r w:rsidR="00A221CB" w:rsidRPr="00184DA7">
          <w:rPr>
            <w:rFonts w:ascii="Times New Roman" w:hAnsi="Times New Roman" w:cs="Times New Roman"/>
            <w:shd w:val="clear" w:color="auto" w:fill="FFFFFF"/>
          </w:rPr>
          <w:t> 401/2009 et (UE) 2018/1999 («loi européenne sur le climat»)</w:t>
        </w:r>
      </w:hyperlink>
    </w:p>
    <w:p w:rsidR="0034301E" w:rsidRDefault="006B7EF6" w:rsidP="006B7EF6">
      <w:pPr>
        <w:jc w:val="both"/>
        <w:rPr>
          <w:b/>
          <w:i/>
          <w:lang w:val="en-US"/>
        </w:rPr>
      </w:pPr>
      <w:r w:rsidRPr="00B50D4C">
        <w:rPr>
          <w:b/>
          <w:i/>
          <w:lang w:val="en-US"/>
        </w:rPr>
        <w:t xml:space="preserve">Section </w:t>
      </w:r>
      <w:proofErr w:type="gramStart"/>
      <w:r w:rsidRPr="00B50D4C">
        <w:rPr>
          <w:b/>
          <w:i/>
          <w:lang w:val="en-US"/>
        </w:rPr>
        <w:t>3</w:t>
      </w:r>
      <w:proofErr w:type="gramEnd"/>
      <w:r w:rsidRPr="00B50D4C">
        <w:rPr>
          <w:b/>
          <w:i/>
          <w:lang w:val="en-US"/>
        </w:rPr>
        <w:t xml:space="preserve"> – General principles underlying network activities</w:t>
      </w:r>
    </w:p>
    <w:p w:rsidR="00A221CB" w:rsidRDefault="0034301E" w:rsidP="006B7EF6">
      <w:pPr>
        <w:jc w:val="both"/>
        <w:rPr>
          <w:b/>
          <w:i/>
          <w:lang w:val="en-US"/>
        </w:rPr>
      </w:pPr>
      <w:r>
        <w:rPr>
          <w:b/>
          <w:i/>
          <w:lang w:val="en-US"/>
        </w:rPr>
        <w:t xml:space="preserve">Section </w:t>
      </w:r>
      <w:r w:rsidR="00184DA7">
        <w:rPr>
          <w:b/>
          <w:i/>
          <w:lang w:val="en-US"/>
        </w:rPr>
        <w:t>4</w:t>
      </w:r>
      <w:r w:rsidR="004D7ED0">
        <w:rPr>
          <w:b/>
          <w:i/>
          <w:lang w:val="en-US"/>
        </w:rPr>
        <w:t xml:space="preserve"> </w:t>
      </w:r>
      <w:proofErr w:type="gramStart"/>
      <w:r w:rsidR="004D7ED0">
        <w:rPr>
          <w:b/>
          <w:i/>
          <w:lang w:val="en-US"/>
        </w:rPr>
        <w:t xml:space="preserve">- </w:t>
      </w:r>
      <w:r>
        <w:rPr>
          <w:b/>
          <w:i/>
          <w:lang w:val="en-US"/>
        </w:rPr>
        <w:t xml:space="preserve"> Issues</w:t>
      </w:r>
      <w:proofErr w:type="gramEnd"/>
      <w:r>
        <w:rPr>
          <w:b/>
          <w:i/>
          <w:lang w:val="en-US"/>
        </w:rPr>
        <w:t xml:space="preserve"> of EU strategic autonomy</w:t>
      </w:r>
      <w:r w:rsidR="00A221CB">
        <w:rPr>
          <w:b/>
          <w:i/>
          <w:lang w:val="en-US"/>
        </w:rPr>
        <w:t xml:space="preserve"> and Green Deal </w:t>
      </w:r>
    </w:p>
    <w:p w:rsidR="00A221CB" w:rsidRPr="00184DA7" w:rsidRDefault="00A221CB" w:rsidP="006B7EF6">
      <w:pPr>
        <w:jc w:val="both"/>
        <w:rPr>
          <w:lang w:val="en-US"/>
        </w:rPr>
      </w:pPr>
      <w:r w:rsidRPr="00184DA7">
        <w:rPr>
          <w:lang w:val="en-US"/>
        </w:rPr>
        <w:t xml:space="preserve">Communication 2019 </w:t>
      </w:r>
      <w:r w:rsidR="00184DA7" w:rsidRPr="00184DA7">
        <w:rPr>
          <w:lang w:val="en-US"/>
        </w:rPr>
        <w:t>on Green Deal</w:t>
      </w:r>
    </w:p>
    <w:p w:rsidR="00184DA7" w:rsidRDefault="00184DA7" w:rsidP="006B7EF6">
      <w:pPr>
        <w:jc w:val="both"/>
        <w:rPr>
          <w:lang w:val="en-US"/>
        </w:rPr>
      </w:pPr>
      <w:r>
        <w:rPr>
          <w:lang w:val="en-US"/>
        </w:rPr>
        <w:t>Strategic autonomy</w:t>
      </w:r>
    </w:p>
    <w:p w:rsidR="006B7EF6" w:rsidRPr="00B50D4C" w:rsidRDefault="006B7EF6" w:rsidP="006B7EF6">
      <w:pPr>
        <w:jc w:val="both"/>
        <w:rPr>
          <w:b/>
          <w:i/>
          <w:lang w:val="en-US"/>
        </w:rPr>
      </w:pPr>
      <w:r w:rsidRPr="00A221CB">
        <w:rPr>
          <w:b/>
          <w:i/>
          <w:lang w:val="en-US"/>
        </w:rPr>
        <w:t xml:space="preserve">Section 4 – Case study </w:t>
      </w:r>
      <w:r w:rsidR="00A221CB" w:rsidRPr="00A221CB">
        <w:rPr>
          <w:b/>
          <w:i/>
          <w:lang w:val="en-US"/>
        </w:rPr>
        <w:t xml:space="preserve">/ interplay of </w:t>
      </w:r>
      <w:proofErr w:type="gramStart"/>
      <w:r w:rsidR="00A221CB" w:rsidRPr="00A221CB">
        <w:rPr>
          <w:b/>
          <w:i/>
          <w:lang w:val="en-US"/>
        </w:rPr>
        <w:t xml:space="preserve">rules </w:t>
      </w:r>
      <w:r w:rsidRPr="00A221CB">
        <w:rPr>
          <w:b/>
          <w:i/>
          <w:lang w:val="en-US"/>
        </w:rPr>
        <w:t>:</w:t>
      </w:r>
      <w:proofErr w:type="gramEnd"/>
      <w:r w:rsidRPr="00A221CB">
        <w:rPr>
          <w:b/>
          <w:i/>
          <w:lang w:val="en-US"/>
        </w:rPr>
        <w:t xml:space="preserve"> case ANODE </w:t>
      </w:r>
      <w:r w:rsidR="00F54ABD" w:rsidRPr="00A221CB">
        <w:rPr>
          <w:b/>
          <w:i/>
          <w:lang w:val="en-US"/>
        </w:rPr>
        <w:t xml:space="preserve">(CJ, 7 </w:t>
      </w:r>
      <w:proofErr w:type="spellStart"/>
      <w:r w:rsidR="00F54ABD" w:rsidRPr="00A221CB">
        <w:rPr>
          <w:b/>
          <w:i/>
          <w:lang w:val="en-US"/>
        </w:rPr>
        <w:t>september</w:t>
      </w:r>
      <w:proofErr w:type="spellEnd"/>
      <w:r w:rsidR="00F54ABD" w:rsidRPr="00A221CB">
        <w:rPr>
          <w:b/>
          <w:i/>
          <w:lang w:val="en-US"/>
        </w:rPr>
        <w:t xml:space="preserve"> 2016, Association </w:t>
      </w:r>
      <w:proofErr w:type="spellStart"/>
      <w:r w:rsidR="00F54ABD" w:rsidRPr="00A221CB">
        <w:rPr>
          <w:b/>
          <w:i/>
          <w:lang w:val="en-US"/>
        </w:rPr>
        <w:t>nationale</w:t>
      </w:r>
      <w:proofErr w:type="spellEnd"/>
      <w:r w:rsidR="00F54ABD" w:rsidRPr="00A221CB">
        <w:rPr>
          <w:b/>
          <w:i/>
          <w:lang w:val="en-US"/>
        </w:rPr>
        <w:t xml:space="preserve"> des </w:t>
      </w:r>
      <w:proofErr w:type="spellStart"/>
      <w:r w:rsidR="00F54ABD" w:rsidRPr="00A221CB">
        <w:rPr>
          <w:b/>
          <w:i/>
          <w:lang w:val="en-US"/>
        </w:rPr>
        <w:t>opérateurs</w:t>
      </w:r>
      <w:proofErr w:type="spellEnd"/>
      <w:r w:rsidR="00F54ABD" w:rsidRPr="00A221CB">
        <w:rPr>
          <w:b/>
          <w:i/>
          <w:lang w:val="en-US"/>
        </w:rPr>
        <w:t xml:space="preserve"> </w:t>
      </w:r>
      <w:proofErr w:type="spellStart"/>
      <w:r w:rsidR="00F54ABD" w:rsidRPr="00A221CB">
        <w:rPr>
          <w:b/>
          <w:i/>
          <w:lang w:val="en-US"/>
        </w:rPr>
        <w:t>détaillants</w:t>
      </w:r>
      <w:proofErr w:type="spellEnd"/>
      <w:r w:rsidR="00F54ABD" w:rsidRPr="00A221CB">
        <w:rPr>
          <w:b/>
          <w:i/>
          <w:lang w:val="en-US"/>
        </w:rPr>
        <w:t xml:space="preserve"> </w:t>
      </w:r>
      <w:proofErr w:type="spellStart"/>
      <w:r w:rsidR="00F54ABD" w:rsidRPr="00A221CB">
        <w:rPr>
          <w:b/>
          <w:i/>
          <w:lang w:val="en-US"/>
        </w:rPr>
        <w:t>en</w:t>
      </w:r>
      <w:proofErr w:type="spellEnd"/>
      <w:r w:rsidR="00F54ABD" w:rsidRPr="00A221CB">
        <w:rPr>
          <w:b/>
          <w:i/>
          <w:lang w:val="en-US"/>
        </w:rPr>
        <w:t xml:space="preserve"> </w:t>
      </w:r>
      <w:proofErr w:type="spellStart"/>
      <w:r w:rsidR="00F54ABD" w:rsidRPr="00A221CB">
        <w:rPr>
          <w:b/>
          <w:i/>
          <w:lang w:val="en-US"/>
        </w:rPr>
        <w:t>énergie</w:t>
      </w:r>
      <w:proofErr w:type="spellEnd"/>
      <w:r w:rsidR="00F54ABD" w:rsidRPr="00A221CB">
        <w:rPr>
          <w:b/>
          <w:i/>
          <w:lang w:val="en-US"/>
        </w:rPr>
        <w:t xml:space="preserve"> (ANODE), </w:t>
      </w:r>
      <w:proofErr w:type="spellStart"/>
      <w:r w:rsidR="00F54ABD" w:rsidRPr="00A221CB">
        <w:rPr>
          <w:b/>
          <w:i/>
          <w:lang w:val="en-US"/>
        </w:rPr>
        <w:t>aff</w:t>
      </w:r>
      <w:proofErr w:type="spellEnd"/>
      <w:r w:rsidR="00F54ABD" w:rsidRPr="00A221CB">
        <w:rPr>
          <w:b/>
          <w:i/>
          <w:lang w:val="en-US"/>
        </w:rPr>
        <w:t xml:space="preserve">. </w:t>
      </w:r>
      <w:r w:rsidR="00F54ABD" w:rsidRPr="00B50D4C">
        <w:rPr>
          <w:b/>
          <w:i/>
          <w:lang w:val="en-US"/>
        </w:rPr>
        <w:t>C-121/15)</w:t>
      </w:r>
    </w:p>
    <w:p w:rsidR="006B7EF6" w:rsidRPr="00B50D4C" w:rsidRDefault="006B7EF6" w:rsidP="006B7EF6">
      <w:pPr>
        <w:jc w:val="both"/>
        <w:rPr>
          <w:b/>
          <w:smallCaps/>
          <w:lang w:val="en-US"/>
        </w:rPr>
      </w:pPr>
      <w:r w:rsidRPr="00B50D4C">
        <w:rPr>
          <w:b/>
          <w:smallCaps/>
          <w:sz w:val="24"/>
          <w:szCs w:val="24"/>
          <w:lang w:val="en-US"/>
        </w:rPr>
        <w:t xml:space="preserve">Chapter 2 - Network industries within the framework and EU economic </w:t>
      </w:r>
      <w:proofErr w:type="gramStart"/>
      <w:r w:rsidRPr="00B50D4C">
        <w:rPr>
          <w:b/>
          <w:smallCaps/>
          <w:sz w:val="24"/>
          <w:szCs w:val="24"/>
          <w:lang w:val="en-US"/>
        </w:rPr>
        <w:t>law</w:t>
      </w:r>
      <w:r w:rsidR="0034301E">
        <w:rPr>
          <w:b/>
          <w:smallCaps/>
          <w:lang w:val="en-US"/>
        </w:rPr>
        <w:t xml:space="preserve"> </w:t>
      </w:r>
      <w:r w:rsidRPr="00B50D4C">
        <w:rPr>
          <w:b/>
          <w:smallCaps/>
          <w:lang w:val="en-US"/>
        </w:rPr>
        <w:t xml:space="preserve"> </w:t>
      </w:r>
      <w:r w:rsidR="00A221CB">
        <w:rPr>
          <w:b/>
          <w:smallCaps/>
          <w:lang w:val="en-US"/>
        </w:rPr>
        <w:t>(</w:t>
      </w:r>
      <w:proofErr w:type="gramEnd"/>
      <w:r w:rsidR="00A221CB">
        <w:rPr>
          <w:b/>
          <w:smallCaps/>
          <w:lang w:val="en-US"/>
        </w:rPr>
        <w:t>SLIDE 2)</w:t>
      </w:r>
    </w:p>
    <w:p w:rsidR="006B7EF6" w:rsidRPr="00B50D4C" w:rsidRDefault="00BB60C0" w:rsidP="006B7EF6">
      <w:pPr>
        <w:rPr>
          <w:b/>
          <w:i/>
          <w:lang w:val="en-US"/>
        </w:rPr>
      </w:pPr>
      <w:r w:rsidRPr="00B50D4C">
        <w:rPr>
          <w:b/>
          <w:i/>
          <w:lang w:val="en-US"/>
        </w:rPr>
        <w:t xml:space="preserve">Section 1 – Articulation of network industries and competition law </w:t>
      </w:r>
    </w:p>
    <w:p w:rsidR="00BB60C0" w:rsidRPr="00B50D4C" w:rsidRDefault="00BB60C0" w:rsidP="006B7EF6">
      <w:pPr>
        <w:rPr>
          <w:b/>
          <w:i/>
          <w:lang w:val="en-US"/>
        </w:rPr>
      </w:pPr>
      <w:r w:rsidRPr="00B50D4C">
        <w:rPr>
          <w:b/>
          <w:i/>
          <w:lang w:val="en-US"/>
        </w:rPr>
        <w:t xml:space="preserve">A – Applicability of EU </w:t>
      </w:r>
      <w:proofErr w:type="gramStart"/>
      <w:r w:rsidRPr="00B50D4C">
        <w:rPr>
          <w:b/>
          <w:i/>
          <w:lang w:val="en-US"/>
        </w:rPr>
        <w:t xml:space="preserve">law </w:t>
      </w:r>
      <w:r w:rsidR="00B50D4C">
        <w:rPr>
          <w:b/>
          <w:i/>
          <w:lang w:val="en-US"/>
        </w:rPr>
        <w:t>:</w:t>
      </w:r>
      <w:proofErr w:type="gramEnd"/>
      <w:r w:rsidR="00B50D4C">
        <w:rPr>
          <w:b/>
          <w:i/>
          <w:lang w:val="en-US"/>
        </w:rPr>
        <w:t xml:space="preserve"> concept of undertaking / geographical scope </w:t>
      </w:r>
    </w:p>
    <w:p w:rsidR="00BB60C0" w:rsidRPr="00B50D4C" w:rsidRDefault="00BB60C0" w:rsidP="006B7EF6">
      <w:pPr>
        <w:rPr>
          <w:b/>
          <w:i/>
          <w:lang w:val="en-US"/>
        </w:rPr>
      </w:pPr>
      <w:r w:rsidRPr="00B50D4C">
        <w:rPr>
          <w:b/>
          <w:i/>
          <w:lang w:val="en-US"/>
        </w:rPr>
        <w:t xml:space="preserve">B – Abuse of dominant position </w:t>
      </w:r>
    </w:p>
    <w:p w:rsidR="00BB60C0" w:rsidRPr="00B50D4C" w:rsidRDefault="00BB60C0" w:rsidP="006B7EF6">
      <w:pPr>
        <w:rPr>
          <w:b/>
          <w:i/>
          <w:lang w:val="en-US"/>
        </w:rPr>
      </w:pPr>
      <w:r w:rsidRPr="00B50D4C">
        <w:rPr>
          <w:b/>
          <w:i/>
          <w:lang w:val="en-US"/>
        </w:rPr>
        <w:t xml:space="preserve">C – Trust </w:t>
      </w:r>
    </w:p>
    <w:p w:rsidR="00BB60C0" w:rsidRPr="009F1C76" w:rsidRDefault="00BB60C0" w:rsidP="006B7EF6">
      <w:pPr>
        <w:rPr>
          <w:b/>
          <w:i/>
          <w:lang w:val="en-US"/>
        </w:rPr>
      </w:pPr>
      <w:r w:rsidRPr="009F1C76">
        <w:rPr>
          <w:b/>
          <w:i/>
          <w:lang w:val="en-US"/>
        </w:rPr>
        <w:t xml:space="preserve">Section </w:t>
      </w:r>
      <w:proofErr w:type="gramStart"/>
      <w:r w:rsidRPr="009F1C76">
        <w:rPr>
          <w:b/>
          <w:i/>
          <w:lang w:val="en-US"/>
        </w:rPr>
        <w:t>2</w:t>
      </w:r>
      <w:proofErr w:type="gramEnd"/>
      <w:r w:rsidRPr="009F1C76">
        <w:rPr>
          <w:b/>
          <w:i/>
          <w:lang w:val="en-US"/>
        </w:rPr>
        <w:t xml:space="preserve"> – Articulation of network industries and EU law public procurement </w:t>
      </w:r>
    </w:p>
    <w:p w:rsidR="00BB60C0" w:rsidRPr="009F1C76" w:rsidRDefault="00A221CB" w:rsidP="006B7EF6">
      <w:pPr>
        <w:rPr>
          <w:b/>
          <w:i/>
          <w:lang w:val="en-US"/>
        </w:rPr>
      </w:pPr>
      <w:r>
        <w:rPr>
          <w:b/>
          <w:i/>
          <w:lang w:val="en-US"/>
        </w:rPr>
        <w:t>§1</w:t>
      </w:r>
      <w:r w:rsidR="007B6A2B" w:rsidRPr="009F1C76">
        <w:rPr>
          <w:b/>
          <w:i/>
          <w:lang w:val="en-US"/>
        </w:rPr>
        <w:t xml:space="preserve"> – The core principles of public procurement: </w:t>
      </w:r>
      <w:proofErr w:type="spellStart"/>
      <w:r w:rsidR="007B6A2B" w:rsidRPr="009F1C76">
        <w:rPr>
          <w:b/>
          <w:i/>
          <w:lang w:val="en-US"/>
        </w:rPr>
        <w:t>Telaustria</w:t>
      </w:r>
      <w:proofErr w:type="spellEnd"/>
      <w:r w:rsidR="007B6A2B" w:rsidRPr="009F1C76">
        <w:rPr>
          <w:b/>
          <w:i/>
          <w:lang w:val="en-US"/>
        </w:rPr>
        <w:t xml:space="preserve"> case </w:t>
      </w:r>
    </w:p>
    <w:p w:rsidR="007B6A2B" w:rsidRPr="009F1C76" w:rsidRDefault="00A221CB" w:rsidP="006B7EF6">
      <w:pPr>
        <w:rPr>
          <w:b/>
          <w:i/>
          <w:lang w:val="en-US"/>
        </w:rPr>
      </w:pPr>
      <w:r>
        <w:rPr>
          <w:b/>
          <w:i/>
          <w:lang w:val="en-US"/>
        </w:rPr>
        <w:t xml:space="preserve">§2 </w:t>
      </w:r>
      <w:r w:rsidR="007B6A2B" w:rsidRPr="009F1C76">
        <w:rPr>
          <w:b/>
          <w:i/>
          <w:lang w:val="en-US"/>
        </w:rPr>
        <w:t xml:space="preserve">– The scope of the </w:t>
      </w:r>
      <w:r w:rsidR="000303F4" w:rsidRPr="009F1C76">
        <w:rPr>
          <w:b/>
          <w:i/>
          <w:lang w:val="en-US"/>
        </w:rPr>
        <w:t xml:space="preserve">harmonized </w:t>
      </w:r>
      <w:r w:rsidR="007B6A2B" w:rsidRPr="009F1C76">
        <w:rPr>
          <w:b/>
          <w:i/>
          <w:lang w:val="en-US"/>
        </w:rPr>
        <w:t xml:space="preserve">directives </w:t>
      </w:r>
    </w:p>
    <w:p w:rsidR="006B7EF6" w:rsidRPr="009F1C76" w:rsidRDefault="006B7EF6" w:rsidP="009F1C76">
      <w:pPr>
        <w:jc w:val="both"/>
        <w:rPr>
          <w:b/>
          <w:smallCaps/>
          <w:sz w:val="24"/>
          <w:szCs w:val="24"/>
          <w:lang w:val="en-US"/>
        </w:rPr>
      </w:pPr>
      <w:r w:rsidRPr="009F1C76">
        <w:rPr>
          <w:b/>
          <w:smallCaps/>
          <w:sz w:val="24"/>
          <w:szCs w:val="24"/>
          <w:lang w:val="en-US"/>
        </w:rPr>
        <w:t>Chapter 3 - Articulation between n</w:t>
      </w:r>
      <w:r w:rsidR="008542AE" w:rsidRPr="009F1C76">
        <w:rPr>
          <w:b/>
          <w:smallCaps/>
          <w:sz w:val="24"/>
          <w:szCs w:val="24"/>
          <w:lang w:val="en-US"/>
        </w:rPr>
        <w:t>etwork activities and EU sector</w:t>
      </w:r>
      <w:r w:rsidRPr="009F1C76">
        <w:rPr>
          <w:b/>
          <w:smallCaps/>
          <w:sz w:val="24"/>
          <w:szCs w:val="24"/>
          <w:lang w:val="en-US"/>
        </w:rPr>
        <w:t xml:space="preserve">al </w:t>
      </w:r>
      <w:proofErr w:type="gramStart"/>
      <w:r w:rsidRPr="009F1C76">
        <w:rPr>
          <w:b/>
          <w:smallCaps/>
          <w:sz w:val="24"/>
          <w:szCs w:val="24"/>
          <w:lang w:val="en-US"/>
        </w:rPr>
        <w:t>po</w:t>
      </w:r>
      <w:r w:rsidR="00A221CB">
        <w:rPr>
          <w:b/>
          <w:smallCaps/>
          <w:sz w:val="24"/>
          <w:szCs w:val="24"/>
          <w:lang w:val="en-US"/>
        </w:rPr>
        <w:t xml:space="preserve">licies </w:t>
      </w:r>
      <w:r w:rsidRPr="009F1C76">
        <w:rPr>
          <w:b/>
          <w:smallCaps/>
          <w:sz w:val="24"/>
          <w:szCs w:val="24"/>
          <w:lang w:val="en-US"/>
        </w:rPr>
        <w:t xml:space="preserve"> (</w:t>
      </w:r>
      <w:proofErr w:type="gramEnd"/>
      <w:r w:rsidRPr="009F1C76">
        <w:rPr>
          <w:b/>
          <w:smallCaps/>
          <w:sz w:val="24"/>
          <w:szCs w:val="24"/>
          <w:lang w:val="en-US"/>
        </w:rPr>
        <w:t>slide 3)</w:t>
      </w:r>
    </w:p>
    <w:p w:rsidR="006B7EF6" w:rsidRPr="009F1C76" w:rsidRDefault="008542AE" w:rsidP="006B7EF6">
      <w:pPr>
        <w:rPr>
          <w:b/>
          <w:i/>
          <w:lang w:val="en-US"/>
        </w:rPr>
      </w:pPr>
      <w:r w:rsidRPr="009F1C76">
        <w:rPr>
          <w:b/>
          <w:i/>
          <w:lang w:val="en-US"/>
        </w:rPr>
        <w:t xml:space="preserve">Section 1 – Energy policy </w:t>
      </w:r>
    </w:p>
    <w:p w:rsidR="008542AE" w:rsidRDefault="008542AE" w:rsidP="006B7EF6">
      <w:pPr>
        <w:rPr>
          <w:lang w:val="en-US"/>
        </w:rPr>
      </w:pPr>
      <w:r>
        <w:rPr>
          <w:lang w:val="en-US"/>
        </w:rPr>
        <w:t>§1 – Legal base</w:t>
      </w:r>
      <w:r w:rsidR="00785C67">
        <w:rPr>
          <w:lang w:val="en-US"/>
        </w:rPr>
        <w:t xml:space="preserve"> and </w:t>
      </w:r>
      <w:proofErr w:type="gramStart"/>
      <w:r w:rsidR="00785C67">
        <w:rPr>
          <w:lang w:val="en-US"/>
        </w:rPr>
        <w:t xml:space="preserve">principles </w:t>
      </w:r>
      <w:r>
        <w:rPr>
          <w:lang w:val="en-US"/>
        </w:rPr>
        <w:t>:</w:t>
      </w:r>
      <w:proofErr w:type="gramEnd"/>
      <w:r>
        <w:rPr>
          <w:lang w:val="en-US"/>
        </w:rPr>
        <w:t xml:space="preserve"> art. </w:t>
      </w:r>
      <w:proofErr w:type="gramStart"/>
      <w:r>
        <w:rPr>
          <w:lang w:val="en-US"/>
        </w:rPr>
        <w:t>194</w:t>
      </w:r>
      <w:proofErr w:type="gramEnd"/>
      <w:r>
        <w:rPr>
          <w:lang w:val="en-US"/>
        </w:rPr>
        <w:t xml:space="preserve"> TFEU </w:t>
      </w:r>
    </w:p>
    <w:p w:rsidR="00A221CB" w:rsidRPr="00A221CB" w:rsidRDefault="00A221CB" w:rsidP="006B7EF6">
      <w:pPr>
        <w:rPr>
          <w:lang w:val="en-US"/>
        </w:rPr>
      </w:pPr>
      <w:r w:rsidRPr="00A221CB">
        <w:rPr>
          <w:rFonts w:ascii="Roboto" w:hAnsi="Roboto"/>
          <w:color w:val="333333"/>
          <w:sz w:val="21"/>
          <w:szCs w:val="21"/>
          <w:shd w:val="clear" w:color="auto" w:fill="FFFFFF"/>
          <w:lang w:val="en-US"/>
        </w:rPr>
        <w:t>Article </w:t>
      </w:r>
      <w:r w:rsidR="00C71D0B">
        <w:fldChar w:fldCharType="begin"/>
      </w:r>
      <w:r w:rsidR="00C71D0B" w:rsidRPr="00C71D0B">
        <w:rPr>
          <w:lang w:val="en-US"/>
        </w:rPr>
        <w:instrText xml:space="preserve"> HYPERLINK "https://eur-lex.europa.eu/legal-content/EN/TXT/?uri=CELEX:12016E194" \t "_blank" </w:instrText>
      </w:r>
      <w:r w:rsidR="00C71D0B">
        <w:fldChar w:fldCharType="separate"/>
      </w:r>
      <w:r w:rsidRPr="00A221CB">
        <w:rPr>
          <w:rFonts w:ascii="Roboto" w:hAnsi="Roboto"/>
          <w:color w:val="337AB7"/>
          <w:sz w:val="21"/>
          <w:szCs w:val="21"/>
          <w:u w:val="single"/>
          <w:shd w:val="clear" w:color="auto" w:fill="FFFFFF"/>
          <w:lang w:val="en-US"/>
        </w:rPr>
        <w:t>194</w:t>
      </w:r>
      <w:r w:rsidR="00C71D0B">
        <w:rPr>
          <w:rFonts w:ascii="Roboto" w:hAnsi="Roboto"/>
          <w:color w:val="337AB7"/>
          <w:sz w:val="21"/>
          <w:szCs w:val="21"/>
          <w:u w:val="single"/>
          <w:shd w:val="clear" w:color="auto" w:fill="FFFFFF"/>
          <w:lang w:val="en-US"/>
        </w:rPr>
        <w:fldChar w:fldCharType="end"/>
      </w:r>
      <w:r w:rsidRPr="00A221CB">
        <w:rPr>
          <w:rFonts w:ascii="Roboto" w:hAnsi="Roboto"/>
          <w:color w:val="333333"/>
          <w:sz w:val="21"/>
          <w:szCs w:val="21"/>
          <w:shd w:val="clear" w:color="auto" w:fill="FFFFFF"/>
          <w:lang w:val="en-US"/>
        </w:rPr>
        <w:t> of the Treaty on the Functioning of the European Union introduces a specific legal basis for the field of energy based on shared competences between the EU and the EU </w:t>
      </w:r>
      <w:r w:rsidR="00C71D0B">
        <w:fldChar w:fldCharType="begin"/>
      </w:r>
      <w:r w:rsidR="00C71D0B" w:rsidRPr="00C71D0B">
        <w:rPr>
          <w:lang w:val="en-US"/>
        </w:rPr>
        <w:instrText xml:space="preserve"> HYPERLINK "https://eur-lex.europa.eu/summary/glossary/member_states.html" \t "_blank" </w:instrText>
      </w:r>
      <w:r w:rsidR="00C71D0B">
        <w:fldChar w:fldCharType="separate"/>
      </w:r>
      <w:r w:rsidRPr="00A221CB">
        <w:rPr>
          <w:rFonts w:ascii="Roboto" w:hAnsi="Roboto"/>
          <w:color w:val="337AB7"/>
          <w:sz w:val="21"/>
          <w:szCs w:val="21"/>
          <w:u w:val="single"/>
          <w:shd w:val="clear" w:color="auto" w:fill="FFFFFF"/>
          <w:lang w:val="en-US"/>
        </w:rPr>
        <w:t>Member States</w:t>
      </w:r>
      <w:r w:rsidR="00C71D0B">
        <w:rPr>
          <w:rFonts w:ascii="Roboto" w:hAnsi="Roboto"/>
          <w:color w:val="337AB7"/>
          <w:sz w:val="21"/>
          <w:szCs w:val="21"/>
          <w:u w:val="single"/>
          <w:shd w:val="clear" w:color="auto" w:fill="FFFFFF"/>
          <w:lang w:val="en-US"/>
        </w:rPr>
        <w:fldChar w:fldCharType="end"/>
      </w:r>
      <w:r w:rsidRPr="00A221CB">
        <w:rPr>
          <w:rFonts w:ascii="Roboto" w:hAnsi="Roboto"/>
          <w:color w:val="333333"/>
          <w:sz w:val="21"/>
          <w:szCs w:val="21"/>
          <w:shd w:val="clear" w:color="auto" w:fill="FFFFFF"/>
          <w:lang w:val="en-US"/>
        </w:rPr>
        <w:t>, leading them towards a common energy policy</w:t>
      </w:r>
    </w:p>
    <w:p w:rsidR="008542AE" w:rsidRDefault="008542AE" w:rsidP="006B7EF6">
      <w:pPr>
        <w:rPr>
          <w:lang w:val="en-US"/>
        </w:rPr>
      </w:pPr>
      <w:r>
        <w:rPr>
          <w:lang w:val="en-US"/>
        </w:rPr>
        <w:t xml:space="preserve">§2 – Main </w:t>
      </w:r>
      <w:r w:rsidR="00A221CB">
        <w:rPr>
          <w:lang w:val="en-US"/>
        </w:rPr>
        <w:t>dimensions</w:t>
      </w:r>
    </w:p>
    <w:p w:rsidR="008542AE" w:rsidRDefault="008542AE" w:rsidP="006B7EF6">
      <w:pPr>
        <w:rPr>
          <w:lang w:val="en-US"/>
        </w:rPr>
      </w:pPr>
      <w:r>
        <w:rPr>
          <w:lang w:val="en-US"/>
        </w:rPr>
        <w:t xml:space="preserve">§3 – Current issues </w:t>
      </w:r>
      <w:r w:rsidR="00A221CB">
        <w:rPr>
          <w:lang w:val="en-US"/>
        </w:rPr>
        <w:t>of strategic autonomy</w:t>
      </w:r>
    </w:p>
    <w:p w:rsidR="007B6A2B" w:rsidRDefault="007B6A2B" w:rsidP="007B6A2B">
      <w:pPr>
        <w:rPr>
          <w:lang w:val="en-US"/>
        </w:rPr>
      </w:pPr>
      <w:r w:rsidRPr="007B6A2B">
        <w:rPr>
          <w:lang w:val="en-US"/>
        </w:rPr>
        <w:lastRenderedPageBreak/>
        <w:t>COM(2022) 230 final</w:t>
      </w:r>
      <w:r w:rsidR="009F1C76">
        <w:rPr>
          <w:lang w:val="en-US"/>
        </w:rPr>
        <w:t xml:space="preserve">, </w:t>
      </w:r>
      <w:r w:rsidRPr="007B6A2B">
        <w:rPr>
          <w:lang w:val="en-US"/>
        </w:rPr>
        <w:t>COMMUNICATION FROM THE COMMISSION TO THE EUROPEAN PARLIAMENT, THE EUROPEAN COUNCIL, THE COUNCIL, THE EUROPEAN ECONOMIC AND SOCIAL COMMITTEE AND THE COMMITTEE OF THE REGIONS</w:t>
      </w:r>
      <w:r w:rsidR="009F1C76">
        <w:rPr>
          <w:lang w:val="en-US"/>
        </w:rPr>
        <w:t xml:space="preserve">, </w:t>
      </w:r>
      <w:proofErr w:type="spellStart"/>
      <w:r w:rsidRPr="00706C81">
        <w:rPr>
          <w:lang w:val="en-US"/>
        </w:rPr>
        <w:t>REPowerEU</w:t>
      </w:r>
      <w:proofErr w:type="spellEnd"/>
      <w:r w:rsidRPr="00706C81">
        <w:rPr>
          <w:lang w:val="en-US"/>
        </w:rPr>
        <w:t xml:space="preserve"> Plan</w:t>
      </w:r>
    </w:p>
    <w:p w:rsidR="00785C67" w:rsidRPr="008542AE" w:rsidRDefault="00785C67" w:rsidP="00785C67">
      <w:pPr>
        <w:rPr>
          <w:lang w:val="en-US"/>
        </w:rPr>
      </w:pPr>
      <w:r w:rsidRPr="008542AE">
        <w:rPr>
          <w:lang w:val="en-US"/>
        </w:rPr>
        <w:t>Regulation (EU) 2022/1032 of the European Parliament and of the Council of 29 June 2022 amending Regulations (EU) 2017/1938 and (EC) No 715/2009 with regard to gas storage</w:t>
      </w:r>
    </w:p>
    <w:p w:rsidR="00184DA7" w:rsidRDefault="00184DA7" w:rsidP="00184DA7">
      <w:pPr>
        <w:jc w:val="both"/>
        <w:rPr>
          <w:bCs/>
          <w:lang w:val="en-US"/>
        </w:rPr>
      </w:pPr>
      <w:r w:rsidRPr="00184DA7">
        <w:rPr>
          <w:lang w:val="en-US"/>
        </w:rPr>
        <w:t xml:space="preserve">Specific tool of financing - </w:t>
      </w:r>
      <w:r w:rsidRPr="00184DA7">
        <w:rPr>
          <w:bCs/>
          <w:lang w:val="en-US"/>
        </w:rPr>
        <w:t>Regulation (EU) 2021/1056 of the European Parliament and of the Council of 24 June 2021 establishing the Just Transition Fund</w:t>
      </w:r>
    </w:p>
    <w:p w:rsidR="008542AE" w:rsidRPr="009F1C76" w:rsidRDefault="008542AE" w:rsidP="006B7EF6">
      <w:pPr>
        <w:rPr>
          <w:b/>
          <w:i/>
          <w:lang w:val="en-US"/>
        </w:rPr>
      </w:pPr>
      <w:r w:rsidRPr="009F1C76">
        <w:rPr>
          <w:b/>
          <w:i/>
          <w:lang w:val="en-US"/>
        </w:rPr>
        <w:t xml:space="preserve">Section </w:t>
      </w:r>
      <w:proofErr w:type="gramStart"/>
      <w:r w:rsidRPr="009F1C76">
        <w:rPr>
          <w:b/>
          <w:i/>
          <w:lang w:val="en-US"/>
        </w:rPr>
        <w:t>2</w:t>
      </w:r>
      <w:proofErr w:type="gramEnd"/>
      <w:r w:rsidRPr="009F1C76">
        <w:rPr>
          <w:b/>
          <w:i/>
          <w:lang w:val="en-US"/>
        </w:rPr>
        <w:t xml:space="preserve"> – Transport policy </w:t>
      </w:r>
    </w:p>
    <w:p w:rsidR="008542AE" w:rsidRDefault="009F1C76" w:rsidP="006B7EF6">
      <w:pPr>
        <w:rPr>
          <w:lang w:val="en-US"/>
        </w:rPr>
      </w:pPr>
      <w:r>
        <w:rPr>
          <w:lang w:val="en-US"/>
        </w:rPr>
        <w:t xml:space="preserve">§1 – Legal </w:t>
      </w:r>
      <w:proofErr w:type="gramStart"/>
      <w:r>
        <w:rPr>
          <w:lang w:val="en-US"/>
        </w:rPr>
        <w:t>base :</w:t>
      </w:r>
      <w:proofErr w:type="gramEnd"/>
      <w:r>
        <w:rPr>
          <w:lang w:val="en-US"/>
        </w:rPr>
        <w:t xml:space="preserve"> art. </w:t>
      </w:r>
      <w:proofErr w:type="gramStart"/>
      <w:r>
        <w:rPr>
          <w:lang w:val="en-US"/>
        </w:rPr>
        <w:t>90</w:t>
      </w:r>
      <w:proofErr w:type="gramEnd"/>
      <w:r>
        <w:rPr>
          <w:lang w:val="en-US"/>
        </w:rPr>
        <w:t xml:space="preserve"> and f. TFEU </w:t>
      </w:r>
    </w:p>
    <w:p w:rsidR="009F1C76" w:rsidRDefault="009F1C76" w:rsidP="006B7EF6">
      <w:pPr>
        <w:rPr>
          <w:lang w:val="en-US"/>
        </w:rPr>
      </w:pPr>
      <w:r>
        <w:rPr>
          <w:lang w:val="en-US"/>
        </w:rPr>
        <w:t xml:space="preserve">§2 – Articulation with internal market </w:t>
      </w:r>
    </w:p>
    <w:p w:rsidR="009F1C76" w:rsidRDefault="009F1C76" w:rsidP="006B7EF6">
      <w:pPr>
        <w:rPr>
          <w:lang w:val="en-US"/>
        </w:rPr>
      </w:pPr>
      <w:r>
        <w:rPr>
          <w:lang w:val="en-US"/>
        </w:rPr>
        <w:t xml:space="preserve">§3 – Current issues in the context of green deal </w:t>
      </w:r>
    </w:p>
    <w:p w:rsidR="008542AE" w:rsidRPr="009F1C76" w:rsidRDefault="009F1C76" w:rsidP="006B7EF6">
      <w:pPr>
        <w:rPr>
          <w:b/>
          <w:i/>
          <w:lang w:val="en-US"/>
        </w:rPr>
      </w:pPr>
      <w:r w:rsidRPr="009F1C76">
        <w:rPr>
          <w:b/>
          <w:i/>
          <w:lang w:val="en-US"/>
        </w:rPr>
        <w:t xml:space="preserve">Section </w:t>
      </w:r>
      <w:proofErr w:type="gramStart"/>
      <w:r w:rsidRPr="009F1C76">
        <w:rPr>
          <w:b/>
          <w:i/>
          <w:lang w:val="en-US"/>
        </w:rPr>
        <w:t>3</w:t>
      </w:r>
      <w:proofErr w:type="gramEnd"/>
      <w:r w:rsidRPr="009F1C76">
        <w:rPr>
          <w:b/>
          <w:i/>
          <w:lang w:val="en-US"/>
        </w:rPr>
        <w:t xml:space="preserve"> – Network policy </w:t>
      </w:r>
    </w:p>
    <w:p w:rsidR="009F1C76" w:rsidRDefault="009F1C76" w:rsidP="006B7EF6">
      <w:pPr>
        <w:rPr>
          <w:lang w:val="en-US"/>
        </w:rPr>
      </w:pPr>
      <w:r>
        <w:rPr>
          <w:lang w:val="en-US"/>
        </w:rPr>
        <w:t xml:space="preserve">§1 – Legal </w:t>
      </w:r>
      <w:proofErr w:type="gramStart"/>
      <w:r>
        <w:rPr>
          <w:lang w:val="en-US"/>
        </w:rPr>
        <w:t>base :</w:t>
      </w:r>
      <w:proofErr w:type="gramEnd"/>
      <w:r>
        <w:rPr>
          <w:lang w:val="en-US"/>
        </w:rPr>
        <w:t xml:space="preserve"> art. </w:t>
      </w:r>
      <w:proofErr w:type="gramStart"/>
      <w:r>
        <w:rPr>
          <w:lang w:val="en-US"/>
        </w:rPr>
        <w:t>170</w:t>
      </w:r>
      <w:proofErr w:type="gramEnd"/>
      <w:r>
        <w:rPr>
          <w:lang w:val="en-US"/>
        </w:rPr>
        <w:t xml:space="preserve"> TFEU </w:t>
      </w:r>
    </w:p>
    <w:p w:rsidR="008542AE" w:rsidRDefault="009F1C76" w:rsidP="006B7EF6">
      <w:pPr>
        <w:rPr>
          <w:lang w:val="en-US"/>
        </w:rPr>
      </w:pPr>
      <w:r>
        <w:rPr>
          <w:lang w:val="en-US"/>
        </w:rPr>
        <w:t xml:space="preserve">§ 2 – </w:t>
      </w:r>
      <w:r w:rsidR="00FC272F">
        <w:rPr>
          <w:lang w:val="en-US"/>
        </w:rPr>
        <w:t xml:space="preserve">Legal </w:t>
      </w:r>
      <w:r>
        <w:rPr>
          <w:lang w:val="en-US"/>
        </w:rPr>
        <w:t xml:space="preserve">Issues for financing </w:t>
      </w:r>
      <w:r w:rsidR="00FC272F">
        <w:rPr>
          <w:lang w:val="en-US"/>
        </w:rPr>
        <w:t>and determination</w:t>
      </w:r>
    </w:p>
    <w:p w:rsidR="006B7EF6" w:rsidRPr="00A23824" w:rsidRDefault="00785C67" w:rsidP="006B7EF6">
      <w:pPr>
        <w:rPr>
          <w:b/>
          <w:smallCaps/>
          <w:lang w:val="en-US"/>
        </w:rPr>
      </w:pPr>
      <w:r>
        <w:rPr>
          <w:b/>
          <w:smallCaps/>
          <w:lang w:val="en-US"/>
        </w:rPr>
        <w:t xml:space="preserve">Chapter 4 </w:t>
      </w:r>
      <w:r w:rsidR="006B7EF6" w:rsidRPr="00A23824">
        <w:rPr>
          <w:b/>
          <w:smallCaps/>
          <w:lang w:val="en-US"/>
        </w:rPr>
        <w:t xml:space="preserve">- Current transformations and </w:t>
      </w:r>
      <w:proofErr w:type="spellStart"/>
      <w:r w:rsidR="006B7EF6" w:rsidRPr="00A23824">
        <w:rPr>
          <w:b/>
          <w:smallCaps/>
          <w:lang w:val="en-US"/>
        </w:rPr>
        <w:t>on going</w:t>
      </w:r>
      <w:proofErr w:type="spellEnd"/>
      <w:r w:rsidR="006B7EF6" w:rsidRPr="00A23824">
        <w:rPr>
          <w:b/>
          <w:smallCaps/>
          <w:lang w:val="en-US"/>
        </w:rPr>
        <w:t xml:space="preserve"> process of liberalization o</w:t>
      </w:r>
      <w:r w:rsidR="00A221CB">
        <w:rPr>
          <w:b/>
          <w:smallCaps/>
          <w:lang w:val="en-US"/>
        </w:rPr>
        <w:t xml:space="preserve">f transport - the case of </w:t>
      </w:r>
      <w:proofErr w:type="gramStart"/>
      <w:r w:rsidR="00A221CB">
        <w:rPr>
          <w:b/>
          <w:smallCaps/>
          <w:lang w:val="en-US"/>
        </w:rPr>
        <w:t xml:space="preserve">rail </w:t>
      </w:r>
      <w:r w:rsidR="00FC272F">
        <w:rPr>
          <w:b/>
          <w:smallCaps/>
          <w:lang w:val="en-US"/>
        </w:rPr>
        <w:t xml:space="preserve"> (</w:t>
      </w:r>
      <w:proofErr w:type="gramEnd"/>
      <w:r w:rsidR="00FC272F">
        <w:rPr>
          <w:b/>
          <w:smallCaps/>
          <w:lang w:val="en-US"/>
        </w:rPr>
        <w:t>slide 4</w:t>
      </w:r>
      <w:r w:rsidR="006B7EF6" w:rsidRPr="00A23824">
        <w:rPr>
          <w:b/>
          <w:smallCaps/>
          <w:lang w:val="en-US"/>
        </w:rPr>
        <w:t>)</w:t>
      </w:r>
    </w:p>
    <w:p w:rsidR="006B7EF6" w:rsidRPr="00457D58" w:rsidRDefault="00457D58" w:rsidP="006B7EF6">
      <w:pPr>
        <w:rPr>
          <w:b/>
          <w:i/>
          <w:lang w:val="en-US"/>
        </w:rPr>
      </w:pPr>
      <w:r w:rsidRPr="00457D58">
        <w:rPr>
          <w:b/>
          <w:i/>
          <w:lang w:val="en-US"/>
        </w:rPr>
        <w:t xml:space="preserve">Section </w:t>
      </w:r>
      <w:r w:rsidR="00A23824" w:rsidRPr="00457D58">
        <w:rPr>
          <w:b/>
          <w:i/>
          <w:lang w:val="en-US"/>
        </w:rPr>
        <w:t xml:space="preserve">1 – Overview of the evolution of the legislative framework </w:t>
      </w:r>
    </w:p>
    <w:p w:rsidR="00785C67" w:rsidRPr="00785C67" w:rsidRDefault="00785C67" w:rsidP="006B7EF6">
      <w:pPr>
        <w:rPr>
          <w:lang w:val="en-US"/>
        </w:rPr>
      </w:pPr>
      <w:r w:rsidRPr="00785C67">
        <w:rPr>
          <w:lang w:val="en-US"/>
        </w:rPr>
        <w:t>§1 – Succession of packages of directives</w:t>
      </w:r>
    </w:p>
    <w:p w:rsidR="00785C67" w:rsidRPr="00785C67" w:rsidRDefault="00785C67" w:rsidP="006B7EF6">
      <w:pPr>
        <w:rPr>
          <w:lang w:val="en-US"/>
        </w:rPr>
      </w:pPr>
      <w:r w:rsidRPr="00785C67">
        <w:rPr>
          <w:lang w:val="en-US"/>
        </w:rPr>
        <w:t xml:space="preserve">§ 2 – Distinction between open access to network and PSO agreements </w:t>
      </w:r>
    </w:p>
    <w:p w:rsidR="00A23824" w:rsidRPr="00457D58" w:rsidRDefault="00457D58" w:rsidP="006B7EF6">
      <w:pPr>
        <w:rPr>
          <w:b/>
          <w:i/>
          <w:lang w:val="en-US"/>
        </w:rPr>
      </w:pPr>
      <w:r w:rsidRPr="00457D58">
        <w:rPr>
          <w:b/>
          <w:i/>
          <w:lang w:val="en-US"/>
        </w:rPr>
        <w:t xml:space="preserve">Section </w:t>
      </w:r>
      <w:proofErr w:type="gramStart"/>
      <w:r w:rsidR="00785C67">
        <w:rPr>
          <w:b/>
          <w:i/>
          <w:lang w:val="en-US"/>
        </w:rPr>
        <w:t>2</w:t>
      </w:r>
      <w:proofErr w:type="gramEnd"/>
      <w:r w:rsidR="00785C67">
        <w:rPr>
          <w:b/>
          <w:i/>
          <w:lang w:val="en-US"/>
        </w:rPr>
        <w:t xml:space="preserve"> – Current legal issues of the opening up to competition of railway activity </w:t>
      </w:r>
      <w:r w:rsidR="00A23824" w:rsidRPr="00457D58">
        <w:rPr>
          <w:b/>
          <w:i/>
          <w:lang w:val="en-US"/>
        </w:rPr>
        <w:t xml:space="preserve"> </w:t>
      </w:r>
    </w:p>
    <w:p w:rsidR="006B7EF6" w:rsidRPr="008542AE" w:rsidRDefault="00785C67" w:rsidP="008542AE">
      <w:pPr>
        <w:jc w:val="both"/>
        <w:rPr>
          <w:b/>
          <w:lang w:val="en-US"/>
        </w:rPr>
      </w:pPr>
      <w:proofErr w:type="gramStart"/>
      <w:r>
        <w:rPr>
          <w:b/>
          <w:smallCaps/>
          <w:lang w:val="en-US"/>
        </w:rPr>
        <w:t>Chapter  5</w:t>
      </w:r>
      <w:proofErr w:type="gramEnd"/>
      <w:r>
        <w:rPr>
          <w:b/>
          <w:smallCaps/>
          <w:lang w:val="en-US"/>
        </w:rPr>
        <w:t xml:space="preserve"> </w:t>
      </w:r>
      <w:r w:rsidR="006B7EF6" w:rsidRPr="00A23824">
        <w:rPr>
          <w:b/>
          <w:smallCaps/>
          <w:lang w:val="en-US"/>
        </w:rPr>
        <w:t xml:space="preserve"> - New tools of EU funding and the evolution of EU s</w:t>
      </w:r>
      <w:r w:rsidR="00FC272F">
        <w:rPr>
          <w:b/>
          <w:smallCaps/>
          <w:lang w:val="en-US"/>
        </w:rPr>
        <w:t>tate aid for network industries (SLIDE 5)</w:t>
      </w:r>
    </w:p>
    <w:p w:rsidR="006B7EF6" w:rsidRPr="00457D58" w:rsidRDefault="00457D58" w:rsidP="001E0BE6">
      <w:pPr>
        <w:jc w:val="both"/>
        <w:rPr>
          <w:b/>
          <w:i/>
          <w:lang w:val="en-US"/>
        </w:rPr>
      </w:pPr>
      <w:r w:rsidRPr="00457D58">
        <w:rPr>
          <w:b/>
          <w:i/>
          <w:lang w:val="en-US"/>
        </w:rPr>
        <w:t xml:space="preserve">Section </w:t>
      </w:r>
      <w:r w:rsidR="00A23824" w:rsidRPr="00457D58">
        <w:rPr>
          <w:b/>
          <w:i/>
          <w:lang w:val="en-US"/>
        </w:rPr>
        <w:t xml:space="preserve">1 – General recalling of state aid framework </w:t>
      </w:r>
    </w:p>
    <w:p w:rsidR="00A23824" w:rsidRPr="00457D58" w:rsidRDefault="00457D58" w:rsidP="001E0BE6">
      <w:pPr>
        <w:jc w:val="both"/>
        <w:rPr>
          <w:b/>
          <w:i/>
          <w:lang w:val="en-US"/>
        </w:rPr>
      </w:pPr>
      <w:r w:rsidRPr="00457D58">
        <w:rPr>
          <w:b/>
          <w:i/>
          <w:lang w:val="en-US"/>
        </w:rPr>
        <w:t xml:space="preserve">Section </w:t>
      </w:r>
      <w:r w:rsidR="00A23824" w:rsidRPr="00457D58">
        <w:rPr>
          <w:b/>
          <w:i/>
          <w:lang w:val="en-US"/>
        </w:rPr>
        <w:t xml:space="preserve">2 – Use of derogatory regimes for network and SGEI: </w:t>
      </w:r>
      <w:proofErr w:type="spellStart"/>
      <w:r w:rsidR="00A23824" w:rsidRPr="00457D58">
        <w:rPr>
          <w:b/>
          <w:i/>
          <w:lang w:val="en-US"/>
        </w:rPr>
        <w:t>Altmark</w:t>
      </w:r>
      <w:proofErr w:type="spellEnd"/>
      <w:r w:rsidR="00A23824" w:rsidRPr="00457D58">
        <w:rPr>
          <w:b/>
          <w:i/>
          <w:lang w:val="en-US"/>
        </w:rPr>
        <w:t xml:space="preserve"> (compensation), SGEI framework, de </w:t>
      </w:r>
      <w:proofErr w:type="spellStart"/>
      <w:r w:rsidR="00A23824" w:rsidRPr="00457D58">
        <w:rPr>
          <w:b/>
          <w:i/>
          <w:lang w:val="en-US"/>
        </w:rPr>
        <w:t>minimis</w:t>
      </w:r>
      <w:proofErr w:type="spellEnd"/>
      <w:r w:rsidR="00A23824" w:rsidRPr="00457D58">
        <w:rPr>
          <w:b/>
          <w:i/>
          <w:lang w:val="en-US"/>
        </w:rPr>
        <w:t xml:space="preserve"> </w:t>
      </w:r>
    </w:p>
    <w:p w:rsidR="00A23824" w:rsidRPr="00457D58" w:rsidRDefault="00457D58" w:rsidP="006B7EF6">
      <w:pPr>
        <w:rPr>
          <w:b/>
          <w:i/>
          <w:lang w:val="en-US"/>
        </w:rPr>
      </w:pPr>
      <w:r w:rsidRPr="00457D58">
        <w:rPr>
          <w:b/>
          <w:i/>
          <w:lang w:val="en-US"/>
        </w:rPr>
        <w:t xml:space="preserve">Section </w:t>
      </w:r>
      <w:proofErr w:type="gramStart"/>
      <w:r w:rsidR="00A23824" w:rsidRPr="00457D58">
        <w:rPr>
          <w:b/>
          <w:i/>
          <w:lang w:val="en-US"/>
        </w:rPr>
        <w:t>3</w:t>
      </w:r>
      <w:proofErr w:type="gramEnd"/>
      <w:r w:rsidR="00A23824" w:rsidRPr="00457D58">
        <w:rPr>
          <w:b/>
          <w:i/>
          <w:lang w:val="en-US"/>
        </w:rPr>
        <w:t xml:space="preserve"> – Exemption mechanism </w:t>
      </w:r>
    </w:p>
    <w:p w:rsidR="001E0BE6" w:rsidRDefault="00457D58" w:rsidP="006B7EF6">
      <w:pPr>
        <w:rPr>
          <w:lang w:val="en-US"/>
        </w:rPr>
      </w:pPr>
      <w:r w:rsidRPr="00457D58">
        <w:rPr>
          <w:b/>
          <w:i/>
          <w:lang w:val="en-US"/>
        </w:rPr>
        <w:t xml:space="preserve">Section </w:t>
      </w:r>
      <w:r w:rsidR="001E0BE6" w:rsidRPr="00457D58">
        <w:rPr>
          <w:b/>
          <w:i/>
          <w:lang w:val="en-US"/>
        </w:rPr>
        <w:t xml:space="preserve">4 – New issues of funding through EU green </w:t>
      </w:r>
      <w:proofErr w:type="gramStart"/>
      <w:r w:rsidR="001E0BE6" w:rsidRPr="00457D58">
        <w:rPr>
          <w:b/>
          <w:i/>
          <w:lang w:val="en-US"/>
        </w:rPr>
        <w:t xml:space="preserve">deal </w:t>
      </w:r>
      <w:r w:rsidR="00A221CB">
        <w:rPr>
          <w:b/>
          <w:i/>
          <w:lang w:val="en-US"/>
        </w:rPr>
        <w:t xml:space="preserve"> /</w:t>
      </w:r>
      <w:proofErr w:type="gramEnd"/>
      <w:r w:rsidR="00A221CB">
        <w:rPr>
          <w:b/>
          <w:i/>
          <w:lang w:val="en-US"/>
        </w:rPr>
        <w:t xml:space="preserve"> </w:t>
      </w:r>
      <w:r w:rsidR="00785C67">
        <w:rPr>
          <w:b/>
          <w:i/>
          <w:lang w:val="en-US"/>
        </w:rPr>
        <w:t xml:space="preserve">Just Transition Fund </w:t>
      </w:r>
    </w:p>
    <w:p w:rsidR="006B7EF6" w:rsidRPr="006B7EF6" w:rsidRDefault="006B7EF6" w:rsidP="006B7EF6">
      <w:pPr>
        <w:rPr>
          <w:lang w:val="en-US"/>
        </w:rPr>
      </w:pPr>
      <w:r>
        <w:rPr>
          <w:lang w:val="en-US"/>
        </w:rPr>
        <w:t xml:space="preserve"> </w:t>
      </w:r>
    </w:p>
    <w:sectPr w:rsidR="006B7EF6" w:rsidRPr="006B7EF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9A4" w:rsidRDefault="006679A4" w:rsidP="006679A4">
      <w:pPr>
        <w:spacing w:after="0" w:line="240" w:lineRule="auto"/>
      </w:pPr>
      <w:r>
        <w:separator/>
      </w:r>
    </w:p>
  </w:endnote>
  <w:endnote w:type="continuationSeparator" w:id="0">
    <w:p w:rsidR="006679A4" w:rsidRDefault="006679A4" w:rsidP="0066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33014"/>
      <w:docPartObj>
        <w:docPartGallery w:val="Page Numbers (Bottom of Page)"/>
        <w:docPartUnique/>
      </w:docPartObj>
    </w:sdtPr>
    <w:sdtEndPr/>
    <w:sdtContent>
      <w:p w:rsidR="003C6686" w:rsidRDefault="003C6686">
        <w:pPr>
          <w:pStyle w:val="Pieddepage"/>
        </w:pPr>
        <w:r>
          <w:fldChar w:fldCharType="begin"/>
        </w:r>
        <w:r>
          <w:instrText>PAGE   \* MERGEFORMAT</w:instrText>
        </w:r>
        <w:r>
          <w:fldChar w:fldCharType="separate"/>
        </w:r>
        <w:r w:rsidR="00C71D0B">
          <w:rPr>
            <w:noProof/>
          </w:rPr>
          <w:t>1</w:t>
        </w:r>
        <w:r>
          <w:fldChar w:fldCharType="end"/>
        </w:r>
      </w:p>
    </w:sdtContent>
  </w:sdt>
  <w:p w:rsidR="003C6686" w:rsidRDefault="003C66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9A4" w:rsidRDefault="006679A4" w:rsidP="006679A4">
      <w:pPr>
        <w:spacing w:after="0" w:line="240" w:lineRule="auto"/>
      </w:pPr>
      <w:r>
        <w:separator/>
      </w:r>
    </w:p>
  </w:footnote>
  <w:footnote w:type="continuationSeparator" w:id="0">
    <w:p w:rsidR="006679A4" w:rsidRDefault="006679A4" w:rsidP="00667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87635"/>
    <w:multiLevelType w:val="hybridMultilevel"/>
    <w:tmpl w:val="274E5C7C"/>
    <w:lvl w:ilvl="0" w:tplc="6194D61C">
      <w:start w:val="19"/>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C901D72"/>
    <w:multiLevelType w:val="hybridMultilevel"/>
    <w:tmpl w:val="33386796"/>
    <w:lvl w:ilvl="0" w:tplc="526ED4E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659A5"/>
    <w:multiLevelType w:val="hybridMultilevel"/>
    <w:tmpl w:val="ADD2ED12"/>
    <w:lvl w:ilvl="0" w:tplc="6194D61C">
      <w:start w:val="19"/>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EA34014"/>
    <w:multiLevelType w:val="hybridMultilevel"/>
    <w:tmpl w:val="1668F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A150F3"/>
    <w:multiLevelType w:val="hybridMultilevel"/>
    <w:tmpl w:val="6BA8729A"/>
    <w:lvl w:ilvl="0" w:tplc="6194D61C">
      <w:start w:val="19"/>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93614A1"/>
    <w:multiLevelType w:val="hybridMultilevel"/>
    <w:tmpl w:val="3272B4C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F6"/>
    <w:rsid w:val="000303F4"/>
    <w:rsid w:val="0006544B"/>
    <w:rsid w:val="00183D51"/>
    <w:rsid w:val="00184DA7"/>
    <w:rsid w:val="001E0BE6"/>
    <w:rsid w:val="002523A3"/>
    <w:rsid w:val="00280C50"/>
    <w:rsid w:val="00287FEA"/>
    <w:rsid w:val="002F6CFD"/>
    <w:rsid w:val="0034301E"/>
    <w:rsid w:val="003C6686"/>
    <w:rsid w:val="00457D58"/>
    <w:rsid w:val="004D7ED0"/>
    <w:rsid w:val="006679A4"/>
    <w:rsid w:val="006B7EF6"/>
    <w:rsid w:val="00706C81"/>
    <w:rsid w:val="00785C67"/>
    <w:rsid w:val="007A5B53"/>
    <w:rsid w:val="007B6A2B"/>
    <w:rsid w:val="007E7CC4"/>
    <w:rsid w:val="008542AE"/>
    <w:rsid w:val="00884CD7"/>
    <w:rsid w:val="00957A95"/>
    <w:rsid w:val="009C2825"/>
    <w:rsid w:val="009F1C76"/>
    <w:rsid w:val="00A221CB"/>
    <w:rsid w:val="00A23824"/>
    <w:rsid w:val="00B50D4C"/>
    <w:rsid w:val="00BB60C0"/>
    <w:rsid w:val="00BF0913"/>
    <w:rsid w:val="00C032D3"/>
    <w:rsid w:val="00C71D0B"/>
    <w:rsid w:val="00CA1C6A"/>
    <w:rsid w:val="00F1372F"/>
    <w:rsid w:val="00F54ABD"/>
    <w:rsid w:val="00FC2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BCEE3-E2A9-45EC-A50D-916F7BFD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2523A3"/>
    <w:pPr>
      <w:widowControl w:val="0"/>
      <w:autoSpaceDE w:val="0"/>
      <w:autoSpaceDN w:val="0"/>
      <w:spacing w:before="81" w:after="0" w:line="240" w:lineRule="auto"/>
      <w:ind w:left="629" w:right="114" w:hanging="511"/>
      <w:jc w:val="both"/>
    </w:pPr>
    <w:rPr>
      <w:rFonts w:ascii="Times New Roman" w:eastAsia="Times New Roman" w:hAnsi="Times New Roman" w:cs="Times New Roman"/>
      <w:lang w:val="en-US"/>
    </w:rPr>
  </w:style>
  <w:style w:type="paragraph" w:styleId="NormalWeb">
    <w:name w:val="Normal (Web)"/>
    <w:basedOn w:val="Normal"/>
    <w:uiPriority w:val="99"/>
    <w:semiHidden/>
    <w:unhideWhenUsed/>
    <w:rsid w:val="002F6C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54ABD"/>
    <w:rPr>
      <w:color w:val="0563C1" w:themeColor="hyperlink"/>
      <w:u w:val="single"/>
    </w:rPr>
  </w:style>
  <w:style w:type="paragraph" w:styleId="En-tte">
    <w:name w:val="header"/>
    <w:basedOn w:val="Normal"/>
    <w:link w:val="En-tteCar"/>
    <w:uiPriority w:val="99"/>
    <w:unhideWhenUsed/>
    <w:rsid w:val="006679A4"/>
    <w:pPr>
      <w:tabs>
        <w:tab w:val="center" w:pos="4536"/>
        <w:tab w:val="right" w:pos="9072"/>
      </w:tabs>
      <w:spacing w:after="0" w:line="240" w:lineRule="auto"/>
    </w:pPr>
  </w:style>
  <w:style w:type="character" w:customStyle="1" w:styleId="En-tteCar">
    <w:name w:val="En-tête Car"/>
    <w:basedOn w:val="Policepardfaut"/>
    <w:link w:val="En-tte"/>
    <w:uiPriority w:val="99"/>
    <w:rsid w:val="006679A4"/>
  </w:style>
  <w:style w:type="paragraph" w:styleId="Pieddepage">
    <w:name w:val="footer"/>
    <w:basedOn w:val="Normal"/>
    <w:link w:val="PieddepageCar"/>
    <w:uiPriority w:val="99"/>
    <w:unhideWhenUsed/>
    <w:rsid w:val="006679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FR/AUTO/?uri=celex:32021R1119" TargetMode="External"/><Relationship Id="rId5" Type="http://schemas.openxmlformats.org/officeDocument/2006/relationships/webSettings" Target="webSettings.xml"/><Relationship Id="rId10" Type="http://schemas.openxmlformats.org/officeDocument/2006/relationships/hyperlink" Target="https://eulawliv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7A44-8F46-424C-A764-B1A366A0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4</Pages>
  <Words>1417</Words>
  <Characters>7798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UPEC</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DELAROSA</dc:creator>
  <cp:keywords/>
  <dc:description/>
  <cp:lastModifiedBy>DELAROSA</cp:lastModifiedBy>
  <cp:revision>5</cp:revision>
  <dcterms:created xsi:type="dcterms:W3CDTF">2023-09-04T20:30:00Z</dcterms:created>
  <dcterms:modified xsi:type="dcterms:W3CDTF">2024-01-07T22:16:00Z</dcterms:modified>
</cp:coreProperties>
</file>